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0" w:leftChars="0" w:firstLine="0" w:firstLineChars="0"/>
        <w:jc w:val="both"/>
      </w:pPr>
    </w:p>
    <w:p>
      <w:pPr>
        <w:pStyle w:val="20"/>
      </w:pPr>
      <w:r>
        <w:rPr>
          <w:rFonts w:hint="eastAsia"/>
        </w:rPr>
        <w:t>中国公路建设行业协会标准</w:t>
      </w:r>
    </w:p>
    <w:p>
      <w:pPr>
        <w:pStyle w:val="21"/>
      </w:pPr>
    </w:p>
    <w:p>
      <w:pPr>
        <w:pStyle w:val="21"/>
      </w:pPr>
      <w:r>
        <w:t>Standard</w:t>
      </w:r>
      <w:bookmarkStart w:id="0" w:name="OLE_LINK1"/>
      <w:r>
        <w:t xml:space="preserve"> of China Highway</w:t>
      </w:r>
      <w:r>
        <w:rPr>
          <w:rFonts w:hint="eastAsia"/>
        </w:rPr>
        <w:t xml:space="preserve"> </w:t>
      </w:r>
      <w:r>
        <w:t>Construction Association</w:t>
      </w:r>
      <w:bookmarkEnd w:id="0"/>
      <w:bookmarkStart w:id="41" w:name="_GoBack"/>
      <w:bookmarkEnd w:id="41"/>
    </w:p>
    <w:p>
      <w:pPr>
        <w:pStyle w:val="21"/>
      </w:pPr>
    </w:p>
    <w:p>
      <w:pPr>
        <w:pStyle w:val="21"/>
      </w:pPr>
    </w:p>
    <w:p>
      <w:pPr>
        <w:pStyle w:val="22"/>
      </w:pPr>
      <w:r>
        <w:t>隧道施工废水处理设备产品</w:t>
      </w:r>
    </w:p>
    <w:p>
      <w:pPr>
        <w:pStyle w:val="21"/>
      </w:pPr>
    </w:p>
    <w:p>
      <w:pPr>
        <w:pStyle w:val="21"/>
      </w:pPr>
    </w:p>
    <w:p>
      <w:pPr>
        <w:pStyle w:val="21"/>
      </w:pPr>
      <w:r>
        <w:t>Product standard for tunnel construction wastewater treatment equipment</w:t>
      </w:r>
    </w:p>
    <w:p>
      <w:pPr>
        <w:pStyle w:val="23"/>
      </w:pPr>
    </w:p>
    <w:p>
      <w:pPr>
        <w:pStyle w:val="23"/>
      </w:pPr>
      <w:r>
        <w:rPr>
          <w:rFonts w:hint="eastAsia"/>
        </w:rPr>
        <w:t>（</w:t>
      </w:r>
      <w:r>
        <w:rPr>
          <w:rFonts w:hint="eastAsia"/>
          <w:lang w:val="en-US" w:eastAsia="zh-CN"/>
        </w:rPr>
        <w:t>征集意见</w:t>
      </w:r>
      <w:r>
        <w:rPr>
          <w:rFonts w:hint="eastAsia"/>
        </w:rPr>
        <w:t>稿）</w:t>
      </w:r>
    </w:p>
    <w:p>
      <w:pPr>
        <w:pStyle w:val="23"/>
      </w:pPr>
    </w:p>
    <w:p>
      <w:pPr>
        <w:pStyle w:val="23"/>
      </w:pPr>
    </w:p>
    <w:p>
      <w:pPr>
        <w:pStyle w:val="23"/>
      </w:pPr>
    </w:p>
    <w:p>
      <w:pPr>
        <w:pStyle w:val="23"/>
        <w:jc w:val="both"/>
      </w:pPr>
    </w:p>
    <w:p>
      <w:pPr>
        <w:pStyle w:val="23"/>
      </w:pPr>
    </w:p>
    <w:p>
      <w:pPr>
        <w:pStyle w:val="24"/>
        <w:ind w:firstLine="0" w:firstLineChars="0"/>
      </w:pPr>
      <w:r>
        <w:rPr>
          <w:rFonts w:hint="eastAsia"/>
        </w:rPr>
        <w:t>中国公路建设行业协会发布</w:t>
      </w:r>
    </w:p>
    <w:p>
      <w:pPr>
        <w:pStyle w:val="21"/>
      </w:pPr>
    </w:p>
    <w:p>
      <w:pPr>
        <w:pStyle w:val="21"/>
      </w:pPr>
      <w:r>
        <w:t xml:space="preserve"> </w:t>
      </w:r>
      <w:r>
        <w:rPr>
          <w:rFonts w:hint="eastAsia"/>
        </w:rPr>
        <w:t>Issued by</w:t>
      </w:r>
      <w:r>
        <w:t xml:space="preserve"> China Highway</w:t>
      </w:r>
      <w:r>
        <w:rPr>
          <w:rFonts w:hint="eastAsia"/>
        </w:rPr>
        <w:t xml:space="preserve"> </w:t>
      </w:r>
      <w:r>
        <w:t>Construction Association</w:t>
      </w:r>
    </w:p>
    <w:p>
      <w:pPr>
        <w:pStyle w:val="21"/>
      </w:pPr>
    </w:p>
    <w:p>
      <w:pPr>
        <w:pStyle w:val="25"/>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680" w:gutter="0"/>
          <w:pgNumType w:fmt="numberInDash"/>
          <w:cols w:space="425" w:num="1"/>
          <w:docGrid w:type="lines" w:linePitch="326" w:charSpace="0"/>
        </w:sectPr>
      </w:pPr>
      <w:r>
        <w:rPr>
          <w:rFonts w:hint="eastAsia"/>
        </w:rPr>
        <w:t>2023年</w:t>
      </w:r>
      <w:r>
        <w:rPr>
          <w:rFonts w:hint="eastAsia"/>
          <w:lang w:val="en-US" w:eastAsia="zh-CN"/>
        </w:rPr>
        <w:t>8</w:t>
      </w:r>
      <w:r>
        <w:rPr>
          <w:rFonts w:hint="eastAsia"/>
        </w:rPr>
        <w:t>月</w:t>
      </w:r>
    </w:p>
    <w:p>
      <w:pPr>
        <w:pStyle w:val="26"/>
        <w:ind w:firstLine="0" w:firstLineChars="0"/>
        <w:jc w:val="both"/>
      </w:pPr>
    </w:p>
    <w:p>
      <w:pPr>
        <w:pStyle w:val="28"/>
      </w:pPr>
      <w:r>
        <w:rPr>
          <w:rFonts w:hint="eastAsia"/>
        </w:rPr>
        <w:t>前  言</w:t>
      </w:r>
    </w:p>
    <w:p>
      <w:pPr>
        <w:pStyle w:val="29"/>
        <w:ind w:firstLine="420"/>
      </w:pPr>
      <w:r>
        <w:t>为规范隧道施工废水处理的方法以及一体化设备的生产制造，提高设备的标准化程度，保证产品质量，作为组织生产和产品检验的依据，制定本标准。</w:t>
      </w:r>
    </w:p>
    <w:p>
      <w:pPr>
        <w:pStyle w:val="29"/>
        <w:ind w:firstLine="420"/>
      </w:pPr>
      <w:r>
        <w:t>本标准依据《标准化工作导则  第1部分：标准的结构和编写》（GB/T 1.1-2020），共分为7章，主要内容包括范围、规范性引用文件、术语、技术要求、试验方法、检验规则、标志、包装、运输与储存。</w:t>
      </w:r>
    </w:p>
    <w:p>
      <w:pPr>
        <w:pStyle w:val="29"/>
        <w:ind w:firstLine="420"/>
      </w:pPr>
      <w:r>
        <w:t>本标准实施过程中，请将发现的问题和意见、建议反馈至中铁环境工程科技有限公司（地址：湖南省长沙市岳麓区先导路179号湘江时代A1栋20楼；联系方式：0731-85456888），供修订时参考。</w:t>
      </w:r>
    </w:p>
    <w:p>
      <w:pPr>
        <w:pStyle w:val="29"/>
        <w:ind w:firstLine="420"/>
      </w:pPr>
      <w:r>
        <w:t>本标准由中铁环境科技工程有限公司提出，标准中的各项技术要求将随企业的技术进步及产品的改进而修改，由中铁环境科技工程有限公司负责解释。</w:t>
      </w:r>
    </w:p>
    <w:p>
      <w:pPr>
        <w:pStyle w:val="29"/>
        <w:keepNext w:val="0"/>
        <w:keepLines w:val="0"/>
        <w:pageBreakBefore w:val="0"/>
        <w:widowControl w:val="0"/>
        <w:kinsoku/>
        <w:wordWrap/>
        <w:overflowPunct/>
        <w:topLinePunct w:val="0"/>
        <w:autoSpaceDE/>
        <w:autoSpaceDN/>
        <w:bidi w:val="0"/>
        <w:adjustRightInd/>
        <w:snapToGrid/>
        <w:spacing w:line="360" w:lineRule="auto"/>
        <w:ind w:firstLine="422"/>
        <w:textAlignment w:val="auto"/>
      </w:pPr>
      <w:r>
        <w:rPr>
          <w:rFonts w:hint="eastAsia"/>
          <w:b/>
        </w:rPr>
        <w:t>主   编   单   位</w:t>
      </w:r>
      <w:r>
        <w:rPr>
          <w:rFonts w:hint="eastAsia"/>
        </w:rPr>
        <w:t>：</w:t>
      </w:r>
      <w:r>
        <w:t>中铁环境科技工程有限公司</w:t>
      </w:r>
    </w:p>
    <w:p>
      <w:pPr>
        <w:pStyle w:val="29"/>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hint="eastAsia" w:eastAsia="宋体" w:asciiTheme="minorHAnsi" w:hAnsiTheme="minorHAnsi" w:cstheme="minorBidi"/>
          <w:kern w:val="2"/>
          <w:sz w:val="21"/>
          <w:szCs w:val="24"/>
          <w:lang w:val="en-US" w:eastAsia="zh-CN" w:bidi="ar-SA"/>
        </w:rPr>
      </w:pPr>
      <w:r>
        <w:rPr>
          <w:rFonts w:hint="eastAsia" w:eastAsia="宋体" w:asciiTheme="minorHAnsi" w:hAnsiTheme="minorHAnsi" w:cstheme="minorBidi"/>
          <w:kern w:val="2"/>
          <w:sz w:val="21"/>
          <w:szCs w:val="24"/>
          <w:lang w:val="en-US" w:eastAsia="zh-CN" w:bidi="ar-SA"/>
        </w:rPr>
        <w:t>中铁开发投资集团有限公司</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kern w:val="2"/>
          <w:sz w:val="21"/>
          <w:szCs w:val="24"/>
          <w:lang w:val="en-US" w:eastAsia="zh-CN" w:bidi="ar-SA"/>
        </w:rPr>
      </w:pPr>
      <w:r>
        <w:rPr>
          <w:rFonts w:hint="eastAsia" w:eastAsia="宋体" w:asciiTheme="minorHAnsi" w:hAnsiTheme="minorHAnsi" w:cstheme="minorBidi"/>
          <w:b/>
          <w:kern w:val="2"/>
          <w:sz w:val="21"/>
          <w:szCs w:val="24"/>
          <w:lang w:val="en-US" w:eastAsia="zh-CN" w:bidi="ar-SA"/>
        </w:rPr>
        <w:t>参   编   单   位：</w:t>
      </w:r>
      <w:r>
        <w:rPr>
          <w:rFonts w:hint="eastAsia" w:eastAsia="宋体" w:asciiTheme="minorHAnsi" w:hAnsiTheme="minorHAnsi" w:cstheme="minorBidi"/>
          <w:kern w:val="2"/>
          <w:sz w:val="21"/>
          <w:szCs w:val="24"/>
          <w:lang w:val="en-US" w:eastAsia="zh-CN" w:bidi="ar-SA"/>
        </w:rPr>
        <w:t>中铁高新工业股份有限公司</w:t>
      </w:r>
    </w:p>
    <w:p>
      <w:pPr>
        <w:pStyle w:val="29"/>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hint="default" w:eastAsia="宋体" w:asciiTheme="minorHAnsi" w:hAnsiTheme="minorHAnsi" w:cstheme="minorBidi"/>
          <w:kern w:val="2"/>
          <w:sz w:val="21"/>
          <w:szCs w:val="24"/>
          <w:lang w:val="en-US" w:eastAsia="zh-CN" w:bidi="ar-SA"/>
        </w:rPr>
      </w:pPr>
      <w:r>
        <w:rPr>
          <w:rFonts w:hint="eastAsia" w:eastAsia="宋体" w:asciiTheme="minorHAnsi" w:hAnsiTheme="minorHAnsi" w:cstheme="minorBidi"/>
          <w:kern w:val="2"/>
          <w:sz w:val="21"/>
          <w:szCs w:val="24"/>
          <w:lang w:val="en-US" w:eastAsia="zh-CN" w:bidi="ar-SA"/>
        </w:rPr>
        <w:t>中铁五局集团第一工程有限责任公司</w:t>
      </w:r>
    </w:p>
    <w:p>
      <w:pPr>
        <w:pStyle w:val="29"/>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hint="eastAsia" w:eastAsia="宋体" w:asciiTheme="minorHAnsi" w:hAnsiTheme="minorHAnsi" w:cstheme="minorBidi"/>
          <w:kern w:val="2"/>
          <w:sz w:val="21"/>
          <w:szCs w:val="24"/>
          <w:lang w:val="en-US" w:eastAsia="zh-CN" w:bidi="ar-SA"/>
        </w:rPr>
      </w:pPr>
      <w:r>
        <w:rPr>
          <w:rFonts w:hint="eastAsia" w:eastAsia="宋体" w:asciiTheme="minorHAnsi" w:hAnsiTheme="minorHAnsi" w:cstheme="minorBidi"/>
          <w:kern w:val="2"/>
          <w:sz w:val="21"/>
          <w:szCs w:val="24"/>
          <w:lang w:val="en-US" w:eastAsia="zh-CN" w:bidi="ar-SA"/>
        </w:rPr>
        <w:t>中铁八局集团第二工程有限公司</w:t>
      </w:r>
    </w:p>
    <w:p>
      <w:pPr>
        <w:pStyle w:val="29"/>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eastAsia="宋体"/>
          <w:lang w:val="en-US" w:eastAsia="zh-CN"/>
        </w:rPr>
      </w:pPr>
      <w:r>
        <w:rPr>
          <w:rFonts w:hint="eastAsia"/>
          <w:b/>
        </w:rPr>
        <w:t>主             编</w:t>
      </w:r>
      <w:r>
        <w:rPr>
          <w:rFonts w:hint="eastAsia"/>
        </w:rPr>
        <w:t>：</w:t>
      </w:r>
      <w:r>
        <w:rPr>
          <w:rFonts w:hint="eastAsia"/>
          <w:lang w:val="en-US" w:eastAsia="zh-CN"/>
        </w:rPr>
        <w:t>祁海燕   伏  砍</w:t>
      </w:r>
      <w:r>
        <w:rPr>
          <w:rFonts w:hint="eastAsia"/>
          <w:color w:val="0000FF"/>
          <w:highlight w:val="none"/>
          <w:lang w:val="en-US" w:eastAsia="zh-CN"/>
        </w:rPr>
        <w:t xml:space="preserve">  </w:t>
      </w:r>
      <w:r>
        <w:rPr>
          <w:rFonts w:hint="eastAsia" w:eastAsia="宋体" w:asciiTheme="minorHAnsi" w:hAnsiTheme="minorHAnsi" w:cstheme="minorBidi"/>
          <w:kern w:val="2"/>
          <w:sz w:val="21"/>
          <w:szCs w:val="24"/>
          <w:lang w:val="en-US" w:eastAsia="zh-CN" w:bidi="ar-SA"/>
        </w:rPr>
        <w:t xml:space="preserve"> 温时雨  贺尧 </w:t>
      </w:r>
      <w:r>
        <w:rPr>
          <w:rFonts w:hint="eastAsia"/>
          <w:color w:val="0000FF"/>
          <w:lang w:val="en-US" w:eastAsia="zh-CN"/>
        </w:rPr>
        <w:t xml:space="preserve"> </w:t>
      </w:r>
    </w:p>
    <w:p>
      <w:pPr>
        <w:pStyle w:val="29"/>
        <w:keepNext w:val="0"/>
        <w:keepLines w:val="0"/>
        <w:pageBreakBefore w:val="0"/>
        <w:widowControl w:val="0"/>
        <w:kinsoku/>
        <w:wordWrap/>
        <w:overflowPunct/>
        <w:topLinePunct w:val="0"/>
        <w:autoSpaceDE/>
        <w:autoSpaceDN/>
        <w:bidi w:val="0"/>
        <w:adjustRightInd/>
        <w:snapToGrid/>
        <w:ind w:left="2526" w:leftChars="174" w:hanging="2108" w:hangingChars="1000"/>
        <w:textAlignment w:val="auto"/>
        <w:rPr>
          <w:rFonts w:hint="eastAsia"/>
          <w:lang w:val="en-US" w:eastAsia="zh-CN"/>
        </w:rPr>
      </w:pPr>
      <w:r>
        <w:rPr>
          <w:rFonts w:hint="eastAsia"/>
          <w:b/>
        </w:rPr>
        <w:t>主 要 参 编 人 员</w:t>
      </w:r>
      <w:r>
        <w:rPr>
          <w:rFonts w:hint="eastAsia"/>
        </w:rPr>
        <w:t>：</w:t>
      </w:r>
      <w:r>
        <w:rPr>
          <w:rFonts w:hint="eastAsia"/>
          <w:lang w:val="en-US" w:eastAsia="zh-CN"/>
        </w:rPr>
        <w:t>刘东斌   言海燕   缪兵权   赵振威   李  勇   王芙蓉</w:t>
      </w:r>
    </w:p>
    <w:p>
      <w:pPr>
        <w:pStyle w:val="29"/>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hint="eastAsia" w:eastAsia="宋体" w:asciiTheme="minorHAnsi" w:hAnsiTheme="minorHAnsi" w:cstheme="minorBidi"/>
          <w:kern w:val="2"/>
          <w:sz w:val="21"/>
          <w:szCs w:val="24"/>
          <w:lang w:val="en-US" w:eastAsia="zh-CN" w:bidi="ar-SA"/>
        </w:rPr>
      </w:pPr>
      <w:r>
        <w:rPr>
          <w:rFonts w:hint="eastAsia"/>
          <w:lang w:val="en-US" w:eastAsia="zh-CN"/>
        </w:rPr>
        <w:t xml:space="preserve">邹宇林  赵  </w:t>
      </w:r>
      <w:r>
        <w:rPr>
          <w:rFonts w:hint="eastAsia" w:eastAsia="宋体" w:asciiTheme="minorHAnsi" w:hAnsiTheme="minorHAnsi" w:cstheme="minorBidi"/>
          <w:kern w:val="2"/>
          <w:sz w:val="21"/>
          <w:szCs w:val="24"/>
          <w:lang w:val="en-US" w:eastAsia="zh-CN" w:bidi="ar-SA"/>
        </w:rPr>
        <w:t xml:space="preserve">勤   王  明   汤  宇 </w:t>
      </w:r>
      <w:r>
        <w:rPr>
          <w:rFonts w:hint="eastAsia" w:cstheme="minorBidi"/>
          <w:kern w:val="2"/>
          <w:sz w:val="21"/>
          <w:szCs w:val="24"/>
          <w:lang w:val="en-US" w:eastAsia="zh-CN" w:bidi="ar-SA"/>
        </w:rPr>
        <w:t xml:space="preserve"> </w:t>
      </w:r>
      <w:r>
        <w:rPr>
          <w:rFonts w:hint="eastAsia" w:eastAsia="宋体" w:asciiTheme="minorHAnsi" w:hAnsiTheme="minorHAnsi" w:cstheme="minorBidi"/>
          <w:kern w:val="2"/>
          <w:sz w:val="21"/>
          <w:szCs w:val="24"/>
          <w:lang w:val="en-US" w:eastAsia="zh-CN" w:bidi="ar-SA"/>
        </w:rPr>
        <w:t xml:space="preserve"> 段鹏昌 </w:t>
      </w:r>
      <w:r>
        <w:rPr>
          <w:rFonts w:hint="eastAsia" w:cstheme="minorBidi"/>
          <w:kern w:val="2"/>
          <w:sz w:val="21"/>
          <w:szCs w:val="24"/>
          <w:lang w:val="en-US" w:eastAsia="zh-CN" w:bidi="ar-SA"/>
        </w:rPr>
        <w:t xml:space="preserve"> </w:t>
      </w:r>
      <w:r>
        <w:rPr>
          <w:rFonts w:hint="eastAsia" w:eastAsia="宋体" w:asciiTheme="minorHAnsi" w:hAnsiTheme="minorHAnsi" w:cstheme="minorBidi"/>
          <w:kern w:val="2"/>
          <w:sz w:val="21"/>
          <w:szCs w:val="24"/>
          <w:lang w:val="en-US" w:eastAsia="zh-CN" w:bidi="ar-SA"/>
        </w:rPr>
        <w:t xml:space="preserve"> 胡  娜</w:t>
      </w:r>
    </w:p>
    <w:p>
      <w:pPr>
        <w:pStyle w:val="29"/>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hint="eastAsia" w:eastAsia="宋体" w:asciiTheme="minorHAnsi" w:hAnsiTheme="minorHAnsi" w:cstheme="minorBidi"/>
          <w:kern w:val="2"/>
          <w:sz w:val="21"/>
          <w:szCs w:val="24"/>
          <w:lang w:val="en-US" w:eastAsia="zh-CN" w:bidi="ar-SA"/>
        </w:rPr>
      </w:pPr>
      <w:r>
        <w:rPr>
          <w:rFonts w:hint="eastAsia" w:eastAsia="宋体" w:asciiTheme="minorHAnsi" w:hAnsiTheme="minorHAnsi" w:cstheme="minorBidi"/>
          <w:kern w:val="2"/>
          <w:sz w:val="21"/>
          <w:szCs w:val="24"/>
          <w:lang w:val="en-US" w:eastAsia="zh-CN" w:bidi="ar-SA"/>
        </w:rPr>
        <w:t>朱辉翔   樊  悦   刘凤群   吴  波</w:t>
      </w:r>
    </w:p>
    <w:p>
      <w:pPr>
        <w:pStyle w:val="29"/>
        <w:ind w:firstLine="422"/>
      </w:pPr>
      <w:r>
        <w:rPr>
          <w:rFonts w:hint="eastAsia"/>
          <w:b/>
        </w:rPr>
        <w:t>主             审</w:t>
      </w:r>
      <w:r>
        <w:rPr>
          <w:rFonts w:hint="eastAsia"/>
        </w:rPr>
        <w:t>：</w:t>
      </w:r>
    </w:p>
    <w:p>
      <w:pPr>
        <w:pStyle w:val="29"/>
        <w:ind w:firstLine="422"/>
        <w:sectPr>
          <w:headerReference r:id="rId11" w:type="default"/>
          <w:footerReference r:id="rId12" w:type="default"/>
          <w:pgSz w:w="11906" w:h="16838"/>
          <w:pgMar w:top="1440" w:right="1800" w:bottom="1440" w:left="1800" w:header="851" w:footer="992" w:gutter="0"/>
          <w:pgNumType w:fmt="numberInDash" w:start="1"/>
          <w:cols w:space="425" w:num="1"/>
          <w:docGrid w:type="lines" w:linePitch="326" w:charSpace="0"/>
        </w:sectPr>
      </w:pPr>
      <w:r>
        <w:rPr>
          <w:rFonts w:hint="eastAsia"/>
          <w:b/>
        </w:rPr>
        <w:t>参 与 审 查 人 员</w:t>
      </w:r>
      <w:r>
        <w:rPr>
          <w:rFonts w:hint="eastAsia"/>
        </w:rPr>
        <w:t>：XXXX</w:t>
      </w:r>
    </w:p>
    <w:p>
      <w:pPr>
        <w:pStyle w:val="32"/>
        <w:jc w:val="center"/>
      </w:pPr>
      <w:r>
        <w:rPr>
          <w:rFonts w:hint="eastAsia"/>
        </w:rPr>
        <w:t>目  次</w:t>
      </w:r>
    </w:p>
    <w:p>
      <w:pPr>
        <w:pStyle w:val="32"/>
      </w:pPr>
      <w:r>
        <w:rPr>
          <w:rFonts w:hint="eastAsia"/>
        </w:rPr>
        <w:t xml:space="preserve"> </w:t>
      </w:r>
    </w:p>
    <w:p>
      <w:pPr>
        <w:pStyle w:val="14"/>
        <w:tabs>
          <w:tab w:val="right" w:leader="dot" w:pos="8306"/>
        </w:tabs>
        <w:ind w:firstLine="480"/>
        <w:rPr>
          <w:b/>
        </w:rPr>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"_Toc28389" </w:instrText>
      </w:r>
      <w:r>
        <w:fldChar w:fldCharType="separate"/>
      </w:r>
      <w:r>
        <w:rPr>
          <w:rFonts w:ascii="宋体" w:hAnsi="宋体" w:cs="宋体"/>
          <w:b/>
        </w:rPr>
        <w:t xml:space="preserve">1 </w:t>
      </w:r>
      <w:r>
        <w:rPr>
          <w:rFonts w:hint="eastAsia"/>
          <w:b/>
        </w:rPr>
        <w:t>范围</w:t>
      </w:r>
      <w:r>
        <w:rPr>
          <w:b/>
        </w:rPr>
        <w:tab/>
      </w:r>
      <w:r>
        <w:rPr>
          <w:b/>
        </w:rPr>
        <w:fldChar w:fldCharType="begin"/>
      </w:r>
      <w:r>
        <w:rPr>
          <w:b/>
        </w:rPr>
        <w:instrText xml:space="preserve"> PAGEREF _Toc28389 \h </w:instrText>
      </w:r>
      <w:r>
        <w:rPr>
          <w:b/>
        </w:rPr>
        <w:fldChar w:fldCharType="separate"/>
      </w:r>
      <w:r>
        <w:rPr>
          <w:b/>
        </w:rPr>
        <w:t>- 1 -</w:t>
      </w:r>
      <w:r>
        <w:rPr>
          <w:b/>
        </w:rPr>
        <w:fldChar w:fldCharType="end"/>
      </w:r>
      <w:r>
        <w:rPr>
          <w:b/>
        </w:rPr>
        <w:fldChar w:fldCharType="end"/>
      </w:r>
    </w:p>
    <w:p>
      <w:pPr>
        <w:pStyle w:val="14"/>
        <w:tabs>
          <w:tab w:val="right" w:leader="dot" w:pos="8306"/>
        </w:tabs>
        <w:ind w:firstLine="480"/>
        <w:rPr>
          <w:b/>
        </w:rPr>
      </w:pPr>
      <w:r>
        <w:fldChar w:fldCharType="begin"/>
      </w:r>
      <w:r>
        <w:instrText xml:space="preserve"> HYPERLINK \l "_Toc9206" </w:instrText>
      </w:r>
      <w:r>
        <w:fldChar w:fldCharType="separate"/>
      </w:r>
      <w:r>
        <w:rPr>
          <w:rFonts w:ascii="宋体" w:hAnsi="宋体" w:cs="宋体"/>
          <w:b/>
        </w:rPr>
        <w:t xml:space="preserve">2 </w:t>
      </w:r>
      <w:r>
        <w:rPr>
          <w:rFonts w:hint="eastAsia"/>
          <w:b/>
        </w:rPr>
        <w:t>规范性引用文件</w:t>
      </w:r>
      <w:r>
        <w:rPr>
          <w:b/>
        </w:rPr>
        <w:tab/>
      </w:r>
      <w:r>
        <w:rPr>
          <w:b/>
        </w:rPr>
        <w:fldChar w:fldCharType="begin"/>
      </w:r>
      <w:r>
        <w:rPr>
          <w:b/>
        </w:rPr>
        <w:instrText xml:space="preserve"> PAGEREF _Toc9206 \h </w:instrText>
      </w:r>
      <w:r>
        <w:rPr>
          <w:b/>
        </w:rPr>
        <w:fldChar w:fldCharType="separate"/>
      </w:r>
      <w:r>
        <w:rPr>
          <w:b/>
        </w:rPr>
        <w:t>- 2 -</w:t>
      </w:r>
      <w:r>
        <w:rPr>
          <w:b/>
        </w:rPr>
        <w:fldChar w:fldCharType="end"/>
      </w:r>
      <w:r>
        <w:rPr>
          <w:b/>
        </w:rPr>
        <w:fldChar w:fldCharType="end"/>
      </w:r>
    </w:p>
    <w:p>
      <w:pPr>
        <w:pStyle w:val="14"/>
        <w:tabs>
          <w:tab w:val="right" w:leader="dot" w:pos="8306"/>
        </w:tabs>
        <w:ind w:firstLine="480"/>
      </w:pPr>
      <w:r>
        <w:fldChar w:fldCharType="begin"/>
      </w:r>
      <w:r>
        <w:instrText xml:space="preserve"> HYPERLINK \l "_Toc28888" </w:instrText>
      </w:r>
      <w:r>
        <w:fldChar w:fldCharType="separate"/>
      </w:r>
      <w:r>
        <w:rPr>
          <w:rFonts w:ascii="宋体" w:hAnsi="宋体" w:cs="宋体"/>
          <w:b/>
        </w:rPr>
        <w:t xml:space="preserve">3 </w:t>
      </w:r>
      <w:r>
        <w:rPr>
          <w:rFonts w:hint="eastAsia"/>
          <w:b/>
        </w:rPr>
        <w:t>术语</w:t>
      </w:r>
      <w:r>
        <w:rPr>
          <w:b/>
        </w:rPr>
        <w:tab/>
      </w:r>
      <w:r>
        <w:rPr>
          <w:b/>
        </w:rPr>
        <w:fldChar w:fldCharType="begin"/>
      </w:r>
      <w:r>
        <w:rPr>
          <w:b/>
        </w:rPr>
        <w:instrText xml:space="preserve"> PAGEREF _Toc28888 \h </w:instrText>
      </w:r>
      <w:r>
        <w:rPr>
          <w:b/>
        </w:rPr>
        <w:fldChar w:fldCharType="separate"/>
      </w:r>
      <w:r>
        <w:rPr>
          <w:b/>
        </w:rPr>
        <w:t>- 5 -</w:t>
      </w:r>
      <w:r>
        <w:rPr>
          <w:b/>
        </w:rPr>
        <w:fldChar w:fldCharType="end"/>
      </w:r>
      <w:r>
        <w:rPr>
          <w:b/>
        </w:rPr>
        <w:fldChar w:fldCharType="end"/>
      </w:r>
    </w:p>
    <w:p>
      <w:pPr>
        <w:pStyle w:val="15"/>
        <w:tabs>
          <w:tab w:val="right" w:leader="dot" w:pos="8306"/>
        </w:tabs>
        <w:ind w:left="480" w:firstLine="480"/>
      </w:pPr>
      <w:r>
        <w:fldChar w:fldCharType="begin"/>
      </w:r>
      <w:r>
        <w:instrText xml:space="preserve"> HYPERLINK \l "_Toc29086" </w:instrText>
      </w:r>
      <w:r>
        <w:fldChar w:fldCharType="separate"/>
      </w:r>
      <w:r>
        <w:rPr>
          <w:rFonts w:ascii="宋体" w:hAnsi="宋体" w:cs="宋体"/>
        </w:rPr>
        <w:t xml:space="preserve">3.1 </w:t>
      </w:r>
      <w:r>
        <w:t>隧道施工废水快速处理成套技术装备</w:t>
      </w:r>
      <w:r>
        <w:tab/>
      </w:r>
      <w:r>
        <w:fldChar w:fldCharType="begin"/>
      </w:r>
      <w:r>
        <w:instrText xml:space="preserve"> PAGEREF _Toc29086 \h </w:instrText>
      </w:r>
      <w:r>
        <w:fldChar w:fldCharType="separate"/>
      </w:r>
      <w:r>
        <w:t>- 5 -</w:t>
      </w:r>
      <w:r>
        <w:fldChar w:fldCharType="end"/>
      </w:r>
      <w:r>
        <w:fldChar w:fldCharType="end"/>
      </w:r>
    </w:p>
    <w:p>
      <w:pPr>
        <w:pStyle w:val="15"/>
        <w:tabs>
          <w:tab w:val="right" w:leader="dot" w:pos="8306"/>
        </w:tabs>
        <w:ind w:left="480" w:firstLine="480"/>
      </w:pPr>
      <w:r>
        <w:fldChar w:fldCharType="begin"/>
      </w:r>
      <w:r>
        <w:instrText xml:space="preserve"> HYPERLINK \l "_Toc30205" </w:instrText>
      </w:r>
      <w:r>
        <w:fldChar w:fldCharType="separate"/>
      </w:r>
      <w:r>
        <w:rPr>
          <w:rFonts w:ascii="宋体" w:hAnsi="宋体" w:cs="宋体"/>
        </w:rPr>
        <w:t xml:space="preserve">3.2 </w:t>
      </w:r>
      <w:r>
        <w:t>化学混凝</w:t>
      </w:r>
      <w:r>
        <w:tab/>
      </w:r>
      <w:r>
        <w:fldChar w:fldCharType="begin"/>
      </w:r>
      <w:r>
        <w:instrText xml:space="preserve"> PAGEREF _Toc30205 \h </w:instrText>
      </w:r>
      <w:r>
        <w:fldChar w:fldCharType="separate"/>
      </w:r>
      <w:r>
        <w:t>- 5 -</w:t>
      </w:r>
      <w:r>
        <w:fldChar w:fldCharType="end"/>
      </w:r>
      <w:r>
        <w:fldChar w:fldCharType="end"/>
      </w:r>
    </w:p>
    <w:p>
      <w:pPr>
        <w:pStyle w:val="15"/>
        <w:tabs>
          <w:tab w:val="right" w:leader="dot" w:pos="8306"/>
        </w:tabs>
        <w:ind w:left="480" w:firstLine="480"/>
      </w:pPr>
      <w:r>
        <w:fldChar w:fldCharType="begin"/>
      </w:r>
      <w:r>
        <w:instrText xml:space="preserve"> HYPERLINK \l "_Toc24063" </w:instrText>
      </w:r>
      <w:r>
        <w:fldChar w:fldCharType="separate"/>
      </w:r>
      <w:r>
        <w:rPr>
          <w:rFonts w:ascii="宋体" w:hAnsi="宋体" w:cs="宋体"/>
        </w:rPr>
        <w:t xml:space="preserve">3.3 </w:t>
      </w:r>
      <w:r>
        <w:t>机械搅拌</w:t>
      </w:r>
      <w:r>
        <w:tab/>
      </w:r>
      <w:r>
        <w:fldChar w:fldCharType="begin"/>
      </w:r>
      <w:r>
        <w:instrText xml:space="preserve"> PAGEREF _Toc24063 \h </w:instrText>
      </w:r>
      <w:r>
        <w:fldChar w:fldCharType="separate"/>
      </w:r>
      <w:r>
        <w:t>- 5 -</w:t>
      </w:r>
      <w:r>
        <w:fldChar w:fldCharType="end"/>
      </w:r>
      <w:r>
        <w:fldChar w:fldCharType="end"/>
      </w:r>
    </w:p>
    <w:p>
      <w:pPr>
        <w:pStyle w:val="15"/>
        <w:tabs>
          <w:tab w:val="right" w:leader="dot" w:pos="8306"/>
        </w:tabs>
        <w:ind w:left="480" w:firstLine="480"/>
      </w:pPr>
      <w:r>
        <w:fldChar w:fldCharType="begin"/>
      </w:r>
      <w:r>
        <w:instrText xml:space="preserve"> HYPERLINK \l "_Toc27404" </w:instrText>
      </w:r>
      <w:r>
        <w:fldChar w:fldCharType="separate"/>
      </w:r>
      <w:r>
        <w:rPr>
          <w:rFonts w:ascii="宋体" w:hAnsi="宋体" w:cs="宋体"/>
        </w:rPr>
        <w:t xml:space="preserve">3.4 </w:t>
      </w:r>
      <w:r>
        <w:t>加载沉淀</w:t>
      </w:r>
      <w:r>
        <w:tab/>
      </w:r>
      <w:r>
        <w:fldChar w:fldCharType="begin"/>
      </w:r>
      <w:r>
        <w:instrText xml:space="preserve"> PAGEREF _Toc27404 \h </w:instrText>
      </w:r>
      <w:r>
        <w:fldChar w:fldCharType="separate"/>
      </w:r>
      <w:r>
        <w:t>- 5 -</w:t>
      </w:r>
      <w:r>
        <w:fldChar w:fldCharType="end"/>
      </w:r>
      <w:r>
        <w:fldChar w:fldCharType="end"/>
      </w:r>
    </w:p>
    <w:p>
      <w:pPr>
        <w:pStyle w:val="15"/>
        <w:tabs>
          <w:tab w:val="right" w:leader="dot" w:pos="8306"/>
        </w:tabs>
        <w:ind w:left="480" w:firstLine="480"/>
      </w:pPr>
      <w:r>
        <w:fldChar w:fldCharType="begin"/>
      </w:r>
      <w:r>
        <w:instrText xml:space="preserve"> HYPERLINK \l "_Toc18262" </w:instrText>
      </w:r>
      <w:r>
        <w:fldChar w:fldCharType="separate"/>
      </w:r>
      <w:r>
        <w:rPr>
          <w:rFonts w:ascii="宋体" w:hAnsi="宋体" w:cs="宋体"/>
        </w:rPr>
        <w:t xml:space="preserve">3.5 </w:t>
      </w:r>
      <w:r>
        <w:t>斜管分离</w:t>
      </w:r>
      <w:r>
        <w:tab/>
      </w:r>
      <w:r>
        <w:fldChar w:fldCharType="begin"/>
      </w:r>
      <w:r>
        <w:instrText xml:space="preserve"> PAGEREF _Toc18262 \h </w:instrText>
      </w:r>
      <w:r>
        <w:fldChar w:fldCharType="separate"/>
      </w:r>
      <w:r>
        <w:t>- 6 -</w:t>
      </w:r>
      <w:r>
        <w:fldChar w:fldCharType="end"/>
      </w:r>
      <w:r>
        <w:fldChar w:fldCharType="end"/>
      </w:r>
    </w:p>
    <w:p>
      <w:pPr>
        <w:pStyle w:val="14"/>
        <w:tabs>
          <w:tab w:val="right" w:leader="dot" w:pos="8306"/>
        </w:tabs>
        <w:ind w:firstLine="480"/>
        <w:rPr>
          <w:b/>
        </w:rPr>
      </w:pPr>
      <w:r>
        <w:fldChar w:fldCharType="begin"/>
      </w:r>
      <w:r>
        <w:instrText xml:space="preserve"> HYPERLINK \l "_Toc28694" </w:instrText>
      </w:r>
      <w:r>
        <w:fldChar w:fldCharType="separate"/>
      </w:r>
      <w:r>
        <w:rPr>
          <w:rFonts w:ascii="宋体" w:hAnsi="宋体" w:cs="宋体"/>
          <w:b/>
        </w:rPr>
        <w:t xml:space="preserve">4 </w:t>
      </w:r>
      <w:r>
        <w:rPr>
          <w:rFonts w:hint="eastAsia"/>
          <w:b/>
        </w:rPr>
        <w:t>技术要求</w:t>
      </w:r>
      <w:r>
        <w:rPr>
          <w:b/>
        </w:rPr>
        <w:tab/>
      </w:r>
      <w:r>
        <w:rPr>
          <w:b/>
        </w:rPr>
        <w:fldChar w:fldCharType="begin"/>
      </w:r>
      <w:r>
        <w:rPr>
          <w:b/>
        </w:rPr>
        <w:instrText xml:space="preserve"> PAGEREF _Toc28694 \h </w:instrText>
      </w:r>
      <w:r>
        <w:rPr>
          <w:b/>
        </w:rPr>
        <w:fldChar w:fldCharType="separate"/>
      </w:r>
      <w:r>
        <w:rPr>
          <w:b/>
        </w:rPr>
        <w:t>- 7 -</w:t>
      </w:r>
      <w:r>
        <w:rPr>
          <w:b/>
        </w:rPr>
        <w:fldChar w:fldCharType="end"/>
      </w:r>
      <w:r>
        <w:rPr>
          <w:b/>
        </w:rPr>
        <w:fldChar w:fldCharType="end"/>
      </w:r>
    </w:p>
    <w:p>
      <w:pPr>
        <w:pStyle w:val="15"/>
        <w:tabs>
          <w:tab w:val="right" w:leader="dot" w:pos="8306"/>
        </w:tabs>
        <w:ind w:left="480" w:firstLine="480"/>
      </w:pPr>
      <w:r>
        <w:fldChar w:fldCharType="begin"/>
      </w:r>
      <w:r>
        <w:instrText xml:space="preserve"> HYPERLINK \l "_Toc9520" </w:instrText>
      </w:r>
      <w:r>
        <w:fldChar w:fldCharType="separate"/>
      </w:r>
      <w:r>
        <w:rPr>
          <w:rFonts w:ascii="宋体" w:hAnsi="宋体" w:cs="宋体"/>
        </w:rPr>
        <w:t xml:space="preserve">4.1 </w:t>
      </w:r>
      <w:r>
        <w:rPr>
          <w:rFonts w:hint="eastAsia"/>
        </w:rPr>
        <w:t>适用场景</w:t>
      </w:r>
      <w:r>
        <w:tab/>
      </w:r>
      <w:r>
        <w:fldChar w:fldCharType="begin"/>
      </w:r>
      <w:r>
        <w:instrText xml:space="preserve"> PAGEREF _Toc9520 \h </w:instrText>
      </w:r>
      <w:r>
        <w:fldChar w:fldCharType="separate"/>
      </w:r>
      <w:r>
        <w:t>- 7 -</w:t>
      </w:r>
      <w:r>
        <w:fldChar w:fldCharType="end"/>
      </w:r>
      <w:r>
        <w:fldChar w:fldCharType="end"/>
      </w:r>
    </w:p>
    <w:p>
      <w:pPr>
        <w:pStyle w:val="15"/>
        <w:tabs>
          <w:tab w:val="right" w:leader="dot" w:pos="8306"/>
        </w:tabs>
        <w:ind w:left="480" w:firstLine="480"/>
      </w:pPr>
      <w:r>
        <w:fldChar w:fldCharType="begin"/>
      </w:r>
      <w:r>
        <w:instrText xml:space="preserve"> HYPERLINK \l "_Toc32578" </w:instrText>
      </w:r>
      <w:r>
        <w:fldChar w:fldCharType="separate"/>
      </w:r>
      <w:r>
        <w:rPr>
          <w:rFonts w:ascii="宋体" w:hAnsi="宋体" w:cs="宋体"/>
        </w:rPr>
        <w:t xml:space="preserve">4.2 </w:t>
      </w:r>
      <w:r>
        <w:rPr>
          <w:rFonts w:hint="eastAsia"/>
        </w:rPr>
        <w:t>适用条件</w:t>
      </w:r>
      <w:r>
        <w:tab/>
      </w:r>
      <w:r>
        <w:fldChar w:fldCharType="begin"/>
      </w:r>
      <w:r>
        <w:instrText xml:space="preserve"> PAGEREF _Toc32578 \h </w:instrText>
      </w:r>
      <w:r>
        <w:fldChar w:fldCharType="separate"/>
      </w:r>
      <w:r>
        <w:t>- 7 -</w:t>
      </w:r>
      <w:r>
        <w:fldChar w:fldCharType="end"/>
      </w:r>
      <w:r>
        <w:fldChar w:fldCharType="end"/>
      </w:r>
    </w:p>
    <w:p>
      <w:pPr>
        <w:pStyle w:val="15"/>
        <w:tabs>
          <w:tab w:val="right" w:leader="dot" w:pos="8306"/>
        </w:tabs>
        <w:ind w:left="480" w:firstLine="480"/>
      </w:pPr>
      <w:r>
        <w:fldChar w:fldCharType="begin"/>
      </w:r>
      <w:r>
        <w:instrText xml:space="preserve"> HYPERLINK \l "_Toc11936" </w:instrText>
      </w:r>
      <w:r>
        <w:fldChar w:fldCharType="separate"/>
      </w:r>
      <w:r>
        <w:rPr>
          <w:rFonts w:ascii="宋体" w:hAnsi="宋体" w:cs="宋体"/>
        </w:rPr>
        <w:t xml:space="preserve">4.3 </w:t>
      </w:r>
      <w:r>
        <w:t>设备命名规则</w:t>
      </w:r>
      <w:r>
        <w:tab/>
      </w:r>
      <w:r>
        <w:fldChar w:fldCharType="begin"/>
      </w:r>
      <w:r>
        <w:instrText xml:space="preserve"> PAGEREF _Toc11936 \h </w:instrText>
      </w:r>
      <w:r>
        <w:fldChar w:fldCharType="separate"/>
      </w:r>
      <w:r>
        <w:t>- 8 -</w:t>
      </w:r>
      <w:r>
        <w:fldChar w:fldCharType="end"/>
      </w:r>
      <w:r>
        <w:fldChar w:fldCharType="end"/>
      </w:r>
    </w:p>
    <w:p>
      <w:pPr>
        <w:pStyle w:val="15"/>
        <w:tabs>
          <w:tab w:val="right" w:leader="dot" w:pos="8306"/>
        </w:tabs>
        <w:ind w:left="480" w:firstLine="480"/>
      </w:pPr>
      <w:r>
        <w:fldChar w:fldCharType="begin"/>
      </w:r>
      <w:r>
        <w:instrText xml:space="preserve"> HYPERLINK \l "_Toc10938" </w:instrText>
      </w:r>
      <w:r>
        <w:fldChar w:fldCharType="separate"/>
      </w:r>
      <w:r>
        <w:rPr>
          <w:rFonts w:ascii="宋体" w:hAnsi="宋体" w:cs="宋体"/>
        </w:rPr>
        <w:t xml:space="preserve">4.4 </w:t>
      </w:r>
      <w:r>
        <w:rPr>
          <w:rFonts w:hint="eastAsia"/>
        </w:rPr>
        <w:t>工艺</w:t>
      </w:r>
      <w:r>
        <w:t>原理</w:t>
      </w:r>
      <w:r>
        <w:tab/>
      </w:r>
      <w:r>
        <w:fldChar w:fldCharType="begin"/>
      </w:r>
      <w:r>
        <w:instrText xml:space="preserve"> PAGEREF _Toc10938 \h </w:instrText>
      </w:r>
      <w:r>
        <w:fldChar w:fldCharType="separate"/>
      </w:r>
      <w:r>
        <w:t>- 8 -</w:t>
      </w:r>
      <w:r>
        <w:fldChar w:fldCharType="end"/>
      </w:r>
      <w:r>
        <w:fldChar w:fldCharType="end"/>
      </w:r>
    </w:p>
    <w:p>
      <w:pPr>
        <w:pStyle w:val="15"/>
        <w:tabs>
          <w:tab w:val="right" w:leader="dot" w:pos="8306"/>
        </w:tabs>
        <w:ind w:left="480" w:firstLine="480"/>
      </w:pPr>
      <w:r>
        <w:fldChar w:fldCharType="begin"/>
      </w:r>
      <w:r>
        <w:instrText xml:space="preserve"> HYPERLINK \l "_Toc3840" </w:instrText>
      </w:r>
      <w:r>
        <w:fldChar w:fldCharType="separate"/>
      </w:r>
      <w:r>
        <w:rPr>
          <w:rFonts w:ascii="宋体" w:hAnsi="宋体" w:cs="宋体"/>
        </w:rPr>
        <w:t xml:space="preserve">4.5 </w:t>
      </w:r>
      <w:r>
        <w:rPr>
          <w:rFonts w:hint="eastAsia"/>
        </w:rPr>
        <w:t>工艺要求</w:t>
      </w:r>
      <w:r>
        <w:tab/>
      </w:r>
      <w:r>
        <w:fldChar w:fldCharType="begin"/>
      </w:r>
      <w:r>
        <w:instrText xml:space="preserve"> PAGEREF _Toc3840 \h </w:instrText>
      </w:r>
      <w:r>
        <w:fldChar w:fldCharType="separate"/>
      </w:r>
      <w:r>
        <w:t>- 9 -</w:t>
      </w:r>
      <w:r>
        <w:fldChar w:fldCharType="end"/>
      </w:r>
      <w:r>
        <w:fldChar w:fldCharType="end"/>
      </w:r>
    </w:p>
    <w:p>
      <w:pPr>
        <w:pStyle w:val="15"/>
        <w:tabs>
          <w:tab w:val="right" w:leader="dot" w:pos="8306"/>
        </w:tabs>
        <w:ind w:left="480" w:firstLine="480"/>
      </w:pPr>
      <w:r>
        <w:fldChar w:fldCharType="begin"/>
      </w:r>
      <w:r>
        <w:instrText xml:space="preserve"> HYPERLINK \l "_Toc13026" </w:instrText>
      </w:r>
      <w:r>
        <w:fldChar w:fldCharType="separate"/>
      </w:r>
      <w:r>
        <w:rPr>
          <w:rFonts w:ascii="宋体" w:hAnsi="宋体" w:cs="宋体"/>
        </w:rPr>
        <w:t xml:space="preserve">4.6 </w:t>
      </w:r>
      <w:r>
        <w:rPr>
          <w:rFonts w:hint="eastAsia"/>
        </w:rPr>
        <w:t>材料要求</w:t>
      </w:r>
      <w:r>
        <w:tab/>
      </w:r>
      <w:r>
        <w:fldChar w:fldCharType="begin"/>
      </w:r>
      <w:r>
        <w:instrText xml:space="preserve"> PAGEREF _Toc13026 \h </w:instrText>
      </w:r>
      <w:r>
        <w:fldChar w:fldCharType="separate"/>
      </w:r>
      <w:r>
        <w:t>- 10 -</w:t>
      </w:r>
      <w:r>
        <w:fldChar w:fldCharType="end"/>
      </w:r>
      <w:r>
        <w:fldChar w:fldCharType="end"/>
      </w:r>
    </w:p>
    <w:p>
      <w:pPr>
        <w:pStyle w:val="15"/>
        <w:tabs>
          <w:tab w:val="right" w:leader="dot" w:pos="8306"/>
        </w:tabs>
        <w:ind w:left="480" w:firstLine="480"/>
      </w:pPr>
      <w:r>
        <w:fldChar w:fldCharType="begin"/>
      </w:r>
      <w:r>
        <w:instrText xml:space="preserve"> HYPERLINK \l "_Toc1485" </w:instrText>
      </w:r>
      <w:r>
        <w:fldChar w:fldCharType="separate"/>
      </w:r>
      <w:r>
        <w:rPr>
          <w:rFonts w:ascii="宋体" w:hAnsi="宋体" w:cs="宋体"/>
        </w:rPr>
        <w:t xml:space="preserve">4.7 </w:t>
      </w:r>
      <w:r>
        <w:rPr>
          <w:rFonts w:hint="eastAsia"/>
        </w:rPr>
        <w:t>外观要求</w:t>
      </w:r>
      <w:r>
        <w:tab/>
      </w:r>
      <w:r>
        <w:fldChar w:fldCharType="begin"/>
      </w:r>
      <w:r>
        <w:instrText xml:space="preserve"> PAGEREF _Toc1485 \h </w:instrText>
      </w:r>
      <w:r>
        <w:fldChar w:fldCharType="separate"/>
      </w:r>
      <w:r>
        <w:t>- 10 -</w:t>
      </w:r>
      <w:r>
        <w:fldChar w:fldCharType="end"/>
      </w:r>
      <w:r>
        <w:fldChar w:fldCharType="end"/>
      </w:r>
    </w:p>
    <w:p>
      <w:pPr>
        <w:pStyle w:val="15"/>
        <w:tabs>
          <w:tab w:val="right" w:leader="dot" w:pos="8306"/>
        </w:tabs>
        <w:ind w:left="480" w:firstLine="480"/>
      </w:pPr>
      <w:r>
        <w:fldChar w:fldCharType="begin"/>
      </w:r>
      <w:r>
        <w:instrText xml:space="preserve"> HYPERLINK \l "_Toc32581" </w:instrText>
      </w:r>
      <w:r>
        <w:fldChar w:fldCharType="separate"/>
      </w:r>
      <w:r>
        <w:rPr>
          <w:rFonts w:ascii="宋体" w:hAnsi="宋体" w:cs="宋体"/>
        </w:rPr>
        <w:t xml:space="preserve">4.8 </w:t>
      </w:r>
      <w:r>
        <w:rPr>
          <w:rFonts w:hint="eastAsia"/>
        </w:rPr>
        <w:t>制造要求</w:t>
      </w:r>
      <w:r>
        <w:tab/>
      </w:r>
      <w:r>
        <w:fldChar w:fldCharType="begin"/>
      </w:r>
      <w:r>
        <w:instrText xml:space="preserve"> PAGEREF _Toc32581 \h </w:instrText>
      </w:r>
      <w:r>
        <w:fldChar w:fldCharType="separate"/>
      </w:r>
      <w:r>
        <w:t>- 11 -</w:t>
      </w:r>
      <w:r>
        <w:fldChar w:fldCharType="end"/>
      </w:r>
      <w:r>
        <w:fldChar w:fldCharType="end"/>
      </w:r>
    </w:p>
    <w:p>
      <w:pPr>
        <w:pStyle w:val="15"/>
        <w:tabs>
          <w:tab w:val="right" w:leader="dot" w:pos="8306"/>
        </w:tabs>
        <w:ind w:left="480" w:firstLine="480"/>
      </w:pPr>
      <w:r>
        <w:fldChar w:fldCharType="begin"/>
      </w:r>
      <w:r>
        <w:instrText xml:space="preserve"> HYPERLINK \l "_Toc29286" </w:instrText>
      </w:r>
      <w:r>
        <w:fldChar w:fldCharType="separate"/>
      </w:r>
      <w:r>
        <w:rPr>
          <w:rFonts w:ascii="宋体" w:hAnsi="宋体" w:cs="宋体"/>
        </w:rPr>
        <w:t xml:space="preserve">4.9 </w:t>
      </w:r>
      <w:r>
        <w:rPr>
          <w:rFonts w:hint="eastAsia"/>
        </w:rPr>
        <w:t>焊接要求</w:t>
      </w:r>
      <w:r>
        <w:tab/>
      </w:r>
      <w:r>
        <w:fldChar w:fldCharType="begin"/>
      </w:r>
      <w:r>
        <w:instrText xml:space="preserve"> PAGEREF _Toc29286 \h </w:instrText>
      </w:r>
      <w:r>
        <w:fldChar w:fldCharType="separate"/>
      </w:r>
      <w:r>
        <w:t>- 11 -</w:t>
      </w:r>
      <w:r>
        <w:fldChar w:fldCharType="end"/>
      </w:r>
      <w:r>
        <w:fldChar w:fldCharType="end"/>
      </w:r>
    </w:p>
    <w:p>
      <w:pPr>
        <w:pStyle w:val="15"/>
        <w:tabs>
          <w:tab w:val="right" w:leader="dot" w:pos="8306"/>
        </w:tabs>
        <w:ind w:left="480" w:firstLine="480"/>
      </w:pPr>
      <w:r>
        <w:fldChar w:fldCharType="begin"/>
      </w:r>
      <w:r>
        <w:instrText xml:space="preserve"> HYPERLINK \l "_Toc6104" </w:instrText>
      </w:r>
      <w:r>
        <w:fldChar w:fldCharType="separate"/>
      </w:r>
      <w:r>
        <w:rPr>
          <w:rFonts w:ascii="宋体" w:hAnsi="宋体" w:cs="宋体"/>
        </w:rPr>
        <w:t xml:space="preserve">4.10 </w:t>
      </w:r>
      <w:r>
        <w:rPr>
          <w:rFonts w:hint="eastAsia"/>
        </w:rPr>
        <w:t>涂覆要求</w:t>
      </w:r>
      <w:r>
        <w:tab/>
      </w:r>
      <w:r>
        <w:fldChar w:fldCharType="begin"/>
      </w:r>
      <w:r>
        <w:instrText xml:space="preserve"> PAGEREF _Toc6104 \h </w:instrText>
      </w:r>
      <w:r>
        <w:fldChar w:fldCharType="separate"/>
      </w:r>
      <w:r>
        <w:t>- 12 -</w:t>
      </w:r>
      <w:r>
        <w:fldChar w:fldCharType="end"/>
      </w:r>
      <w:r>
        <w:fldChar w:fldCharType="end"/>
      </w:r>
    </w:p>
    <w:p>
      <w:pPr>
        <w:pStyle w:val="15"/>
        <w:tabs>
          <w:tab w:val="right" w:leader="dot" w:pos="8306"/>
        </w:tabs>
        <w:ind w:left="480" w:firstLine="480"/>
      </w:pPr>
      <w:r>
        <w:fldChar w:fldCharType="begin"/>
      </w:r>
      <w:r>
        <w:instrText xml:space="preserve"> HYPERLINK \l "_Toc4785" </w:instrText>
      </w:r>
      <w:r>
        <w:fldChar w:fldCharType="separate"/>
      </w:r>
      <w:r>
        <w:rPr>
          <w:rFonts w:ascii="宋体" w:hAnsi="宋体" w:cs="宋体"/>
        </w:rPr>
        <w:t xml:space="preserve">4.11 </w:t>
      </w:r>
      <w:r>
        <w:rPr>
          <w:rFonts w:hint="eastAsia"/>
        </w:rPr>
        <w:t>电气和控制要求</w:t>
      </w:r>
      <w:r>
        <w:tab/>
      </w:r>
      <w:r>
        <w:fldChar w:fldCharType="begin"/>
      </w:r>
      <w:r>
        <w:instrText xml:space="preserve"> PAGEREF _Toc4785 \h </w:instrText>
      </w:r>
      <w:r>
        <w:fldChar w:fldCharType="separate"/>
      </w:r>
      <w:r>
        <w:t>- 12 -</w:t>
      </w:r>
      <w:r>
        <w:fldChar w:fldCharType="end"/>
      </w:r>
      <w:r>
        <w:fldChar w:fldCharType="end"/>
      </w:r>
    </w:p>
    <w:p>
      <w:pPr>
        <w:pStyle w:val="15"/>
        <w:tabs>
          <w:tab w:val="right" w:leader="dot" w:pos="8306"/>
        </w:tabs>
        <w:ind w:left="480" w:firstLine="480"/>
      </w:pPr>
      <w:r>
        <w:fldChar w:fldCharType="begin"/>
      </w:r>
      <w:r>
        <w:instrText xml:space="preserve"> HYPERLINK \l "_Toc27022" </w:instrText>
      </w:r>
      <w:r>
        <w:fldChar w:fldCharType="separate"/>
      </w:r>
      <w:r>
        <w:rPr>
          <w:rFonts w:ascii="宋体" w:hAnsi="宋体" w:cs="宋体"/>
        </w:rPr>
        <w:t xml:space="preserve">4.12 </w:t>
      </w:r>
      <w:r>
        <w:rPr>
          <w:rFonts w:hint="eastAsia"/>
        </w:rPr>
        <w:t>结构要求</w:t>
      </w:r>
      <w:r>
        <w:tab/>
      </w:r>
      <w:r>
        <w:fldChar w:fldCharType="begin"/>
      </w:r>
      <w:r>
        <w:instrText xml:space="preserve"> PAGEREF _Toc27022 \h </w:instrText>
      </w:r>
      <w:r>
        <w:fldChar w:fldCharType="separate"/>
      </w:r>
      <w:r>
        <w:t>- 13 -</w:t>
      </w:r>
      <w:r>
        <w:fldChar w:fldCharType="end"/>
      </w:r>
      <w:r>
        <w:fldChar w:fldCharType="end"/>
      </w:r>
    </w:p>
    <w:p>
      <w:pPr>
        <w:pStyle w:val="15"/>
        <w:tabs>
          <w:tab w:val="right" w:leader="dot" w:pos="8306"/>
        </w:tabs>
        <w:ind w:left="480" w:firstLine="480"/>
      </w:pPr>
      <w:r>
        <w:fldChar w:fldCharType="begin"/>
      </w:r>
      <w:r>
        <w:instrText xml:space="preserve"> HYPERLINK \l "_Toc13295" </w:instrText>
      </w:r>
      <w:r>
        <w:fldChar w:fldCharType="separate"/>
      </w:r>
      <w:r>
        <w:rPr>
          <w:rFonts w:ascii="宋体" w:hAnsi="宋体" w:cs="宋体"/>
        </w:rPr>
        <w:t xml:space="preserve">4.13 </w:t>
      </w:r>
      <w:r>
        <w:rPr>
          <w:rFonts w:hint="eastAsia"/>
        </w:rPr>
        <w:t>强度及密封性要求</w:t>
      </w:r>
      <w:r>
        <w:tab/>
      </w:r>
      <w:r>
        <w:fldChar w:fldCharType="begin"/>
      </w:r>
      <w:r>
        <w:instrText xml:space="preserve"> PAGEREF _Toc13295 \h </w:instrText>
      </w:r>
      <w:r>
        <w:fldChar w:fldCharType="separate"/>
      </w:r>
      <w:r>
        <w:t>- 13 -</w:t>
      </w:r>
      <w:r>
        <w:fldChar w:fldCharType="end"/>
      </w:r>
      <w:r>
        <w:fldChar w:fldCharType="end"/>
      </w:r>
    </w:p>
    <w:p>
      <w:pPr>
        <w:pStyle w:val="15"/>
        <w:tabs>
          <w:tab w:val="right" w:leader="dot" w:pos="8306"/>
        </w:tabs>
        <w:ind w:left="480" w:firstLine="480"/>
      </w:pPr>
      <w:r>
        <w:fldChar w:fldCharType="begin"/>
      </w:r>
      <w:r>
        <w:instrText xml:space="preserve"> HYPERLINK \l "_Toc14415" </w:instrText>
      </w:r>
      <w:r>
        <w:fldChar w:fldCharType="separate"/>
      </w:r>
      <w:r>
        <w:rPr>
          <w:rFonts w:ascii="宋体" w:hAnsi="宋体" w:cs="宋体"/>
        </w:rPr>
        <w:t xml:space="preserve">4.14 </w:t>
      </w:r>
      <w:r>
        <w:rPr>
          <w:rFonts w:hint="eastAsia"/>
        </w:rPr>
        <w:t>整机装配要求</w:t>
      </w:r>
      <w:r>
        <w:tab/>
      </w:r>
      <w:r>
        <w:fldChar w:fldCharType="begin"/>
      </w:r>
      <w:r>
        <w:instrText xml:space="preserve"> PAGEREF _Toc14415 \h </w:instrText>
      </w:r>
      <w:r>
        <w:fldChar w:fldCharType="separate"/>
      </w:r>
      <w:r>
        <w:t>- 14 -</w:t>
      </w:r>
      <w:r>
        <w:fldChar w:fldCharType="end"/>
      </w:r>
      <w:r>
        <w:fldChar w:fldCharType="end"/>
      </w:r>
    </w:p>
    <w:p>
      <w:pPr>
        <w:pStyle w:val="15"/>
        <w:tabs>
          <w:tab w:val="right" w:leader="dot" w:pos="8306"/>
        </w:tabs>
        <w:ind w:left="480" w:firstLine="480"/>
      </w:pPr>
      <w:r>
        <w:fldChar w:fldCharType="begin"/>
      </w:r>
      <w:r>
        <w:instrText xml:space="preserve"> HYPERLINK \l "_Toc20308" </w:instrText>
      </w:r>
      <w:r>
        <w:fldChar w:fldCharType="separate"/>
      </w:r>
      <w:r>
        <w:rPr>
          <w:rFonts w:ascii="宋体" w:hAnsi="宋体" w:cs="宋体"/>
        </w:rPr>
        <w:t xml:space="preserve">4.15 </w:t>
      </w:r>
      <w:r>
        <w:rPr>
          <w:rFonts w:hint="eastAsia"/>
        </w:rPr>
        <w:t>安装吊装要求</w:t>
      </w:r>
      <w:r>
        <w:tab/>
      </w:r>
      <w:r>
        <w:fldChar w:fldCharType="begin"/>
      </w:r>
      <w:r>
        <w:instrText xml:space="preserve"> PAGEREF _Toc20308 \h </w:instrText>
      </w:r>
      <w:r>
        <w:fldChar w:fldCharType="separate"/>
      </w:r>
      <w:r>
        <w:t>- 14 -</w:t>
      </w:r>
      <w:r>
        <w:fldChar w:fldCharType="end"/>
      </w:r>
      <w:r>
        <w:fldChar w:fldCharType="end"/>
      </w:r>
    </w:p>
    <w:p>
      <w:pPr>
        <w:pStyle w:val="15"/>
        <w:tabs>
          <w:tab w:val="right" w:leader="dot" w:pos="8306"/>
        </w:tabs>
        <w:ind w:left="480" w:firstLine="480"/>
      </w:pPr>
      <w:r>
        <w:fldChar w:fldCharType="begin"/>
      </w:r>
      <w:r>
        <w:instrText xml:space="preserve"> HYPERLINK \l "_Toc29129" </w:instrText>
      </w:r>
      <w:r>
        <w:fldChar w:fldCharType="separate"/>
      </w:r>
      <w:r>
        <w:rPr>
          <w:rFonts w:ascii="宋体" w:hAnsi="宋体" w:cs="宋体"/>
        </w:rPr>
        <w:t xml:space="preserve">4.16 </w:t>
      </w:r>
      <w:r>
        <w:rPr>
          <w:rFonts w:hint="eastAsia"/>
        </w:rPr>
        <w:t>性能要求</w:t>
      </w:r>
      <w:r>
        <w:tab/>
      </w:r>
      <w:r>
        <w:fldChar w:fldCharType="begin"/>
      </w:r>
      <w:r>
        <w:instrText xml:space="preserve"> PAGEREF _Toc29129 \h </w:instrText>
      </w:r>
      <w:r>
        <w:fldChar w:fldCharType="separate"/>
      </w:r>
      <w:r>
        <w:t>- 14 -</w:t>
      </w:r>
      <w:r>
        <w:fldChar w:fldCharType="end"/>
      </w:r>
      <w:r>
        <w:fldChar w:fldCharType="end"/>
      </w:r>
    </w:p>
    <w:p>
      <w:pPr>
        <w:pStyle w:val="15"/>
        <w:tabs>
          <w:tab w:val="right" w:leader="dot" w:pos="8306"/>
        </w:tabs>
        <w:ind w:left="480" w:firstLine="480"/>
      </w:pPr>
      <w:r>
        <w:fldChar w:fldCharType="begin"/>
      </w:r>
      <w:r>
        <w:instrText xml:space="preserve"> HYPERLINK \l "_Toc6159" </w:instrText>
      </w:r>
      <w:r>
        <w:fldChar w:fldCharType="separate"/>
      </w:r>
      <w:r>
        <w:rPr>
          <w:rFonts w:ascii="宋体" w:hAnsi="宋体" w:cs="宋体"/>
        </w:rPr>
        <w:t xml:space="preserve">4.17 </w:t>
      </w:r>
      <w:r>
        <w:rPr>
          <w:rFonts w:hint="eastAsia"/>
        </w:rPr>
        <w:t>安全要求</w:t>
      </w:r>
      <w:r>
        <w:tab/>
      </w:r>
      <w:r>
        <w:fldChar w:fldCharType="begin"/>
      </w:r>
      <w:r>
        <w:instrText xml:space="preserve"> PAGEREF _Toc6159 \h </w:instrText>
      </w:r>
      <w:r>
        <w:fldChar w:fldCharType="separate"/>
      </w:r>
      <w:r>
        <w:t>- 15 -</w:t>
      </w:r>
      <w:r>
        <w:fldChar w:fldCharType="end"/>
      </w:r>
      <w:r>
        <w:fldChar w:fldCharType="end"/>
      </w:r>
    </w:p>
    <w:p>
      <w:pPr>
        <w:pStyle w:val="14"/>
        <w:tabs>
          <w:tab w:val="right" w:leader="dot" w:pos="8306"/>
        </w:tabs>
        <w:ind w:firstLine="480"/>
        <w:rPr>
          <w:b/>
        </w:rPr>
      </w:pPr>
      <w:r>
        <w:fldChar w:fldCharType="begin"/>
      </w:r>
      <w:r>
        <w:instrText xml:space="preserve"> HYPERLINK \l "_Toc28604" </w:instrText>
      </w:r>
      <w:r>
        <w:fldChar w:fldCharType="separate"/>
      </w:r>
      <w:r>
        <w:rPr>
          <w:rFonts w:ascii="宋体" w:hAnsi="宋体" w:cs="宋体"/>
          <w:b/>
        </w:rPr>
        <w:t xml:space="preserve">5 </w:t>
      </w:r>
      <w:r>
        <w:rPr>
          <w:rFonts w:hint="eastAsia"/>
          <w:b/>
        </w:rPr>
        <w:t>试验方法</w:t>
      </w:r>
      <w:r>
        <w:rPr>
          <w:b/>
        </w:rPr>
        <w:tab/>
      </w:r>
      <w:r>
        <w:rPr>
          <w:b/>
        </w:rPr>
        <w:fldChar w:fldCharType="begin"/>
      </w:r>
      <w:r>
        <w:rPr>
          <w:b/>
        </w:rPr>
        <w:instrText xml:space="preserve"> PAGEREF _Toc28604 \h </w:instrText>
      </w:r>
      <w:r>
        <w:rPr>
          <w:b/>
        </w:rPr>
        <w:fldChar w:fldCharType="separate"/>
      </w:r>
      <w:r>
        <w:rPr>
          <w:b/>
        </w:rPr>
        <w:t>- 16 -</w:t>
      </w:r>
      <w:r>
        <w:rPr>
          <w:b/>
        </w:rPr>
        <w:fldChar w:fldCharType="end"/>
      </w:r>
      <w:r>
        <w:rPr>
          <w:b/>
        </w:rPr>
        <w:fldChar w:fldCharType="end"/>
      </w:r>
    </w:p>
    <w:p>
      <w:pPr>
        <w:pStyle w:val="15"/>
        <w:tabs>
          <w:tab w:val="right" w:leader="dot" w:pos="8306"/>
        </w:tabs>
        <w:ind w:left="480" w:firstLine="480"/>
      </w:pPr>
      <w:r>
        <w:fldChar w:fldCharType="begin"/>
      </w:r>
      <w:r>
        <w:instrText xml:space="preserve"> HYPERLINK \l "_Toc28394" </w:instrText>
      </w:r>
      <w:r>
        <w:fldChar w:fldCharType="separate"/>
      </w:r>
      <w:r>
        <w:rPr>
          <w:rFonts w:ascii="宋体" w:hAnsi="宋体" w:cs="宋体"/>
        </w:rPr>
        <w:t xml:space="preserve">5.1 </w:t>
      </w:r>
      <w:r>
        <w:rPr>
          <w:rFonts w:hint="eastAsia"/>
        </w:rPr>
        <w:t>一体化设备构件检查</w:t>
      </w:r>
      <w:r>
        <w:tab/>
      </w:r>
      <w:r>
        <w:fldChar w:fldCharType="begin"/>
      </w:r>
      <w:r>
        <w:instrText xml:space="preserve"> PAGEREF _Toc28394 \h </w:instrText>
      </w:r>
      <w:r>
        <w:fldChar w:fldCharType="separate"/>
      </w:r>
      <w:r>
        <w:t>- 16 -</w:t>
      </w:r>
      <w:r>
        <w:fldChar w:fldCharType="end"/>
      </w:r>
      <w:r>
        <w:fldChar w:fldCharType="end"/>
      </w:r>
    </w:p>
    <w:p>
      <w:pPr>
        <w:pStyle w:val="15"/>
        <w:tabs>
          <w:tab w:val="right" w:leader="dot" w:pos="8306"/>
        </w:tabs>
        <w:ind w:left="480" w:firstLine="480"/>
      </w:pPr>
      <w:r>
        <w:fldChar w:fldCharType="begin"/>
      </w:r>
      <w:r>
        <w:instrText xml:space="preserve"> HYPERLINK \l "_Toc28076" </w:instrText>
      </w:r>
      <w:r>
        <w:fldChar w:fldCharType="separate"/>
      </w:r>
      <w:r>
        <w:rPr>
          <w:rFonts w:ascii="宋体" w:hAnsi="宋体" w:cs="宋体"/>
        </w:rPr>
        <w:t xml:space="preserve">5.2 </w:t>
      </w:r>
      <w:r>
        <w:rPr>
          <w:rFonts w:hint="eastAsia"/>
        </w:rPr>
        <w:t>整机装配要求检验</w:t>
      </w:r>
      <w:r>
        <w:tab/>
      </w:r>
      <w:r>
        <w:fldChar w:fldCharType="begin"/>
      </w:r>
      <w:r>
        <w:instrText xml:space="preserve"> PAGEREF _Toc28076 \h </w:instrText>
      </w:r>
      <w:r>
        <w:fldChar w:fldCharType="separate"/>
      </w:r>
      <w:r>
        <w:t>- 17 -</w:t>
      </w:r>
      <w:r>
        <w:fldChar w:fldCharType="end"/>
      </w:r>
      <w:r>
        <w:fldChar w:fldCharType="end"/>
      </w:r>
    </w:p>
    <w:p>
      <w:pPr>
        <w:pStyle w:val="15"/>
        <w:tabs>
          <w:tab w:val="right" w:leader="dot" w:pos="8306"/>
        </w:tabs>
        <w:ind w:left="480" w:firstLine="480"/>
      </w:pPr>
      <w:r>
        <w:fldChar w:fldCharType="begin"/>
      </w:r>
      <w:r>
        <w:instrText xml:space="preserve"> HYPERLINK \l "_Toc4020" </w:instrText>
      </w:r>
      <w:r>
        <w:fldChar w:fldCharType="separate"/>
      </w:r>
      <w:r>
        <w:rPr>
          <w:rFonts w:ascii="宋体" w:hAnsi="宋体" w:cs="宋体"/>
        </w:rPr>
        <w:t xml:space="preserve">5.3 </w:t>
      </w:r>
      <w:r>
        <w:rPr>
          <w:rFonts w:hint="eastAsia"/>
        </w:rPr>
        <w:t>性能试验方法</w:t>
      </w:r>
      <w:r>
        <w:tab/>
      </w:r>
      <w:r>
        <w:fldChar w:fldCharType="begin"/>
      </w:r>
      <w:r>
        <w:instrText xml:space="preserve"> PAGEREF _Toc4020 \h </w:instrText>
      </w:r>
      <w:r>
        <w:fldChar w:fldCharType="separate"/>
      </w:r>
      <w:r>
        <w:t>- 17 -</w:t>
      </w:r>
      <w:r>
        <w:fldChar w:fldCharType="end"/>
      </w:r>
      <w:r>
        <w:fldChar w:fldCharType="end"/>
      </w:r>
    </w:p>
    <w:p>
      <w:pPr>
        <w:pStyle w:val="14"/>
        <w:tabs>
          <w:tab w:val="right" w:leader="dot" w:pos="8306"/>
        </w:tabs>
        <w:ind w:firstLine="480"/>
        <w:rPr>
          <w:b/>
        </w:rPr>
      </w:pPr>
      <w:r>
        <w:fldChar w:fldCharType="begin"/>
      </w:r>
      <w:r>
        <w:instrText xml:space="preserve"> HYPERLINK \l "_Toc21791" </w:instrText>
      </w:r>
      <w:r>
        <w:fldChar w:fldCharType="separate"/>
      </w:r>
      <w:r>
        <w:rPr>
          <w:rFonts w:ascii="宋体" w:hAnsi="宋体" w:cs="宋体"/>
          <w:b/>
        </w:rPr>
        <w:t xml:space="preserve">6 </w:t>
      </w:r>
      <w:r>
        <w:rPr>
          <w:rFonts w:hint="eastAsia"/>
          <w:b/>
        </w:rPr>
        <w:t>检验规则</w:t>
      </w:r>
      <w:r>
        <w:rPr>
          <w:b/>
        </w:rPr>
        <w:tab/>
      </w:r>
      <w:r>
        <w:rPr>
          <w:b/>
        </w:rPr>
        <w:fldChar w:fldCharType="begin"/>
      </w:r>
      <w:r>
        <w:rPr>
          <w:b/>
        </w:rPr>
        <w:instrText xml:space="preserve"> PAGEREF _Toc21791 \h </w:instrText>
      </w:r>
      <w:r>
        <w:rPr>
          <w:b/>
        </w:rPr>
        <w:fldChar w:fldCharType="separate"/>
      </w:r>
      <w:r>
        <w:rPr>
          <w:b/>
        </w:rPr>
        <w:t>- 19 -</w:t>
      </w:r>
      <w:r>
        <w:rPr>
          <w:b/>
        </w:rPr>
        <w:fldChar w:fldCharType="end"/>
      </w:r>
      <w:r>
        <w:rPr>
          <w:b/>
        </w:rPr>
        <w:fldChar w:fldCharType="end"/>
      </w:r>
    </w:p>
    <w:p>
      <w:pPr>
        <w:pStyle w:val="15"/>
        <w:tabs>
          <w:tab w:val="right" w:leader="dot" w:pos="8306"/>
        </w:tabs>
        <w:ind w:left="480" w:firstLine="480"/>
      </w:pPr>
      <w:r>
        <w:fldChar w:fldCharType="begin"/>
      </w:r>
      <w:r>
        <w:instrText xml:space="preserve"> HYPERLINK \l "_Toc12037" </w:instrText>
      </w:r>
      <w:r>
        <w:fldChar w:fldCharType="separate"/>
      </w:r>
      <w:r>
        <w:rPr>
          <w:rFonts w:ascii="宋体" w:hAnsi="宋体" w:cs="宋体"/>
        </w:rPr>
        <w:t xml:space="preserve">6.1 </w:t>
      </w:r>
      <w:r>
        <w:rPr>
          <w:rFonts w:hint="eastAsia"/>
        </w:rPr>
        <w:t>出厂检验项目</w:t>
      </w:r>
      <w:r>
        <w:tab/>
      </w:r>
      <w:r>
        <w:fldChar w:fldCharType="begin"/>
      </w:r>
      <w:r>
        <w:instrText xml:space="preserve"> PAGEREF _Toc12037 \h </w:instrText>
      </w:r>
      <w:r>
        <w:fldChar w:fldCharType="separate"/>
      </w:r>
      <w:r>
        <w:t>- 19 -</w:t>
      </w:r>
      <w:r>
        <w:fldChar w:fldCharType="end"/>
      </w:r>
      <w:r>
        <w:fldChar w:fldCharType="end"/>
      </w:r>
    </w:p>
    <w:p>
      <w:pPr>
        <w:pStyle w:val="15"/>
        <w:tabs>
          <w:tab w:val="right" w:leader="dot" w:pos="8306"/>
        </w:tabs>
        <w:ind w:left="480" w:firstLine="480"/>
      </w:pPr>
      <w:r>
        <w:fldChar w:fldCharType="begin"/>
      </w:r>
      <w:r>
        <w:instrText xml:space="preserve"> HYPERLINK \l "_Toc23761" </w:instrText>
      </w:r>
      <w:r>
        <w:fldChar w:fldCharType="separate"/>
      </w:r>
      <w:r>
        <w:rPr>
          <w:rFonts w:ascii="宋体" w:hAnsi="宋体" w:cs="宋体"/>
        </w:rPr>
        <w:t xml:space="preserve">6.2 </w:t>
      </w:r>
      <w:r>
        <w:rPr>
          <w:rFonts w:hint="eastAsia"/>
        </w:rPr>
        <w:t>型式试验</w:t>
      </w:r>
      <w:r>
        <w:tab/>
      </w:r>
      <w:r>
        <w:fldChar w:fldCharType="begin"/>
      </w:r>
      <w:r>
        <w:instrText xml:space="preserve"> PAGEREF _Toc23761 \h </w:instrText>
      </w:r>
      <w:r>
        <w:fldChar w:fldCharType="separate"/>
      </w:r>
      <w:r>
        <w:t>- 20 -</w:t>
      </w:r>
      <w:r>
        <w:fldChar w:fldCharType="end"/>
      </w:r>
      <w:r>
        <w:fldChar w:fldCharType="end"/>
      </w:r>
    </w:p>
    <w:p>
      <w:pPr>
        <w:pStyle w:val="15"/>
        <w:tabs>
          <w:tab w:val="right" w:leader="dot" w:pos="8306"/>
        </w:tabs>
        <w:ind w:left="480" w:firstLine="480"/>
      </w:pPr>
      <w:r>
        <w:fldChar w:fldCharType="begin"/>
      </w:r>
      <w:r>
        <w:instrText xml:space="preserve"> HYPERLINK \l "_Toc13089" </w:instrText>
      </w:r>
      <w:r>
        <w:fldChar w:fldCharType="separate"/>
      </w:r>
      <w:r>
        <w:rPr>
          <w:rFonts w:ascii="宋体" w:hAnsi="宋体" w:cs="宋体"/>
        </w:rPr>
        <w:t xml:space="preserve">6.3 </w:t>
      </w:r>
      <w:r>
        <w:rPr>
          <w:rFonts w:hint="eastAsia"/>
        </w:rPr>
        <w:t>现场检验</w:t>
      </w:r>
      <w:r>
        <w:tab/>
      </w:r>
      <w:r>
        <w:fldChar w:fldCharType="begin"/>
      </w:r>
      <w:r>
        <w:instrText xml:space="preserve"> PAGEREF _Toc13089 \h </w:instrText>
      </w:r>
      <w:r>
        <w:fldChar w:fldCharType="separate"/>
      </w:r>
      <w:r>
        <w:t>- 20 -</w:t>
      </w:r>
      <w:r>
        <w:fldChar w:fldCharType="end"/>
      </w:r>
      <w:r>
        <w:fldChar w:fldCharType="end"/>
      </w:r>
    </w:p>
    <w:p>
      <w:pPr>
        <w:pStyle w:val="15"/>
        <w:tabs>
          <w:tab w:val="right" w:leader="dot" w:pos="8306"/>
        </w:tabs>
        <w:ind w:left="480" w:firstLine="480"/>
      </w:pPr>
      <w:r>
        <w:fldChar w:fldCharType="begin"/>
      </w:r>
      <w:r>
        <w:instrText xml:space="preserve"> HYPERLINK \l "_Toc6790" </w:instrText>
      </w:r>
      <w:r>
        <w:fldChar w:fldCharType="separate"/>
      </w:r>
      <w:r>
        <w:rPr>
          <w:rFonts w:ascii="宋体" w:hAnsi="宋体" w:cs="宋体"/>
        </w:rPr>
        <w:t xml:space="preserve">6.4 </w:t>
      </w:r>
      <w:r>
        <w:rPr>
          <w:rFonts w:hint="eastAsia"/>
        </w:rPr>
        <w:t>判定规则</w:t>
      </w:r>
      <w:r>
        <w:tab/>
      </w:r>
      <w:r>
        <w:fldChar w:fldCharType="begin"/>
      </w:r>
      <w:r>
        <w:instrText xml:space="preserve"> PAGEREF _Toc6790 \h </w:instrText>
      </w:r>
      <w:r>
        <w:fldChar w:fldCharType="separate"/>
      </w:r>
      <w:r>
        <w:t>- 21 -</w:t>
      </w:r>
      <w:r>
        <w:fldChar w:fldCharType="end"/>
      </w:r>
      <w:r>
        <w:fldChar w:fldCharType="end"/>
      </w:r>
    </w:p>
    <w:p>
      <w:pPr>
        <w:pStyle w:val="14"/>
        <w:tabs>
          <w:tab w:val="right" w:leader="dot" w:pos="8306"/>
        </w:tabs>
        <w:ind w:firstLine="480"/>
        <w:rPr>
          <w:b/>
        </w:rPr>
      </w:pPr>
      <w:r>
        <w:fldChar w:fldCharType="begin"/>
      </w:r>
      <w:r>
        <w:instrText xml:space="preserve"> HYPERLINK \l "_Toc18698" </w:instrText>
      </w:r>
      <w:r>
        <w:fldChar w:fldCharType="separate"/>
      </w:r>
      <w:r>
        <w:rPr>
          <w:rFonts w:ascii="宋体" w:hAnsi="宋体" w:cs="宋体"/>
          <w:b/>
        </w:rPr>
        <w:t xml:space="preserve">7 </w:t>
      </w:r>
      <w:r>
        <w:rPr>
          <w:rFonts w:hint="eastAsia"/>
          <w:b/>
        </w:rPr>
        <w:t>标志、包装、运输与存储</w:t>
      </w:r>
      <w:r>
        <w:rPr>
          <w:b/>
        </w:rPr>
        <w:tab/>
      </w:r>
      <w:r>
        <w:rPr>
          <w:b/>
        </w:rPr>
        <w:fldChar w:fldCharType="begin"/>
      </w:r>
      <w:r>
        <w:rPr>
          <w:b/>
        </w:rPr>
        <w:instrText xml:space="preserve"> PAGEREF _Toc18698 \h </w:instrText>
      </w:r>
      <w:r>
        <w:rPr>
          <w:b/>
        </w:rPr>
        <w:fldChar w:fldCharType="separate"/>
      </w:r>
      <w:r>
        <w:rPr>
          <w:b/>
        </w:rPr>
        <w:t>- 22 -</w:t>
      </w:r>
      <w:r>
        <w:rPr>
          <w:b/>
        </w:rPr>
        <w:fldChar w:fldCharType="end"/>
      </w:r>
      <w:r>
        <w:rPr>
          <w:b/>
        </w:rPr>
        <w:fldChar w:fldCharType="end"/>
      </w:r>
    </w:p>
    <w:p>
      <w:pPr>
        <w:pStyle w:val="15"/>
        <w:tabs>
          <w:tab w:val="right" w:leader="dot" w:pos="8306"/>
        </w:tabs>
        <w:ind w:left="480" w:firstLine="480"/>
      </w:pPr>
      <w:r>
        <w:fldChar w:fldCharType="begin"/>
      </w:r>
      <w:r>
        <w:instrText xml:space="preserve"> HYPERLINK \l "_Toc25692" </w:instrText>
      </w:r>
      <w:r>
        <w:fldChar w:fldCharType="separate"/>
      </w:r>
      <w:r>
        <w:rPr>
          <w:rFonts w:ascii="宋体" w:hAnsi="宋体" w:cs="宋体"/>
        </w:rPr>
        <w:t xml:space="preserve">7.1 </w:t>
      </w:r>
      <w:r>
        <w:t>标志</w:t>
      </w:r>
      <w:r>
        <w:tab/>
      </w:r>
      <w:r>
        <w:fldChar w:fldCharType="begin"/>
      </w:r>
      <w:r>
        <w:instrText xml:space="preserve"> PAGEREF _Toc25692 \h </w:instrText>
      </w:r>
      <w:r>
        <w:fldChar w:fldCharType="separate"/>
      </w:r>
      <w:r>
        <w:t>- 22 -</w:t>
      </w:r>
      <w:r>
        <w:fldChar w:fldCharType="end"/>
      </w:r>
      <w:r>
        <w:fldChar w:fldCharType="end"/>
      </w:r>
    </w:p>
    <w:p>
      <w:pPr>
        <w:pStyle w:val="15"/>
        <w:tabs>
          <w:tab w:val="right" w:leader="dot" w:pos="8306"/>
        </w:tabs>
        <w:ind w:left="480" w:firstLine="480"/>
      </w:pPr>
      <w:r>
        <w:fldChar w:fldCharType="begin"/>
      </w:r>
      <w:r>
        <w:instrText xml:space="preserve"> HYPERLINK \l "_Toc24314" </w:instrText>
      </w:r>
      <w:r>
        <w:fldChar w:fldCharType="separate"/>
      </w:r>
      <w:r>
        <w:rPr>
          <w:rFonts w:ascii="宋体" w:hAnsi="宋体" w:cs="宋体"/>
        </w:rPr>
        <w:t xml:space="preserve">7.2 </w:t>
      </w:r>
      <w:r>
        <w:t>包装</w:t>
      </w:r>
      <w:r>
        <w:tab/>
      </w:r>
      <w:r>
        <w:fldChar w:fldCharType="begin"/>
      </w:r>
      <w:r>
        <w:instrText xml:space="preserve"> PAGEREF _Toc24314 \h </w:instrText>
      </w:r>
      <w:r>
        <w:fldChar w:fldCharType="separate"/>
      </w:r>
      <w:r>
        <w:t>- 22 -</w:t>
      </w:r>
      <w:r>
        <w:fldChar w:fldCharType="end"/>
      </w:r>
      <w:r>
        <w:fldChar w:fldCharType="end"/>
      </w:r>
    </w:p>
    <w:p>
      <w:pPr>
        <w:pStyle w:val="15"/>
        <w:tabs>
          <w:tab w:val="right" w:leader="dot" w:pos="8306"/>
        </w:tabs>
        <w:ind w:left="480" w:firstLine="480"/>
      </w:pPr>
      <w:r>
        <w:fldChar w:fldCharType="begin"/>
      </w:r>
      <w:r>
        <w:instrText xml:space="preserve"> HYPERLINK \l "_Toc1490" </w:instrText>
      </w:r>
      <w:r>
        <w:fldChar w:fldCharType="separate"/>
      </w:r>
      <w:r>
        <w:rPr>
          <w:rFonts w:ascii="宋体" w:hAnsi="宋体" w:cs="宋体"/>
        </w:rPr>
        <w:t xml:space="preserve">7.3 </w:t>
      </w:r>
      <w:r>
        <w:t>运输</w:t>
      </w:r>
      <w:r>
        <w:tab/>
      </w:r>
      <w:r>
        <w:fldChar w:fldCharType="begin"/>
      </w:r>
      <w:r>
        <w:instrText xml:space="preserve"> PAGEREF _Toc1490 \h </w:instrText>
      </w:r>
      <w:r>
        <w:fldChar w:fldCharType="separate"/>
      </w:r>
      <w:r>
        <w:t>- 23 -</w:t>
      </w:r>
      <w:r>
        <w:fldChar w:fldCharType="end"/>
      </w:r>
      <w:r>
        <w:fldChar w:fldCharType="end"/>
      </w:r>
    </w:p>
    <w:p>
      <w:pPr>
        <w:pStyle w:val="15"/>
        <w:tabs>
          <w:tab w:val="right" w:leader="dot" w:pos="8306"/>
        </w:tabs>
        <w:ind w:left="480" w:firstLine="480"/>
      </w:pPr>
      <w:r>
        <w:fldChar w:fldCharType="begin"/>
      </w:r>
      <w:r>
        <w:instrText xml:space="preserve"> HYPERLINK \l "_Toc6113" </w:instrText>
      </w:r>
      <w:r>
        <w:fldChar w:fldCharType="separate"/>
      </w:r>
      <w:r>
        <w:rPr>
          <w:rFonts w:ascii="宋体" w:hAnsi="宋体" w:cs="宋体"/>
        </w:rPr>
        <w:t xml:space="preserve">7.4 </w:t>
      </w:r>
      <w:r>
        <w:t>储存</w:t>
      </w:r>
      <w:r>
        <w:tab/>
      </w:r>
      <w:r>
        <w:fldChar w:fldCharType="begin"/>
      </w:r>
      <w:r>
        <w:instrText xml:space="preserve"> PAGEREF _Toc6113 \h </w:instrText>
      </w:r>
      <w:r>
        <w:fldChar w:fldCharType="separate"/>
      </w:r>
      <w:r>
        <w:t>- 23 -</w:t>
      </w:r>
      <w:r>
        <w:fldChar w:fldCharType="end"/>
      </w:r>
      <w:r>
        <w:fldChar w:fldCharType="end"/>
      </w:r>
    </w:p>
    <w:p>
      <w:pPr>
        <w:pStyle w:val="32"/>
        <w:sectPr>
          <w:headerReference r:id="rId13" w:type="default"/>
          <w:footerReference r:id="rId15" w:type="default"/>
          <w:headerReference r:id="rId14" w:type="even"/>
          <w:pgSz w:w="11906" w:h="16838"/>
          <w:pgMar w:top="1440" w:right="1800" w:bottom="1440" w:left="1800" w:header="851" w:footer="992" w:gutter="0"/>
          <w:pgNumType w:fmt="numberInDash" w:start="1"/>
          <w:cols w:space="425" w:num="1"/>
          <w:docGrid w:type="lines" w:linePitch="312" w:charSpace="0"/>
        </w:sectPr>
      </w:pPr>
      <w:r>
        <w:rPr>
          <w:rFonts w:hint="eastAsia"/>
        </w:rPr>
        <w:fldChar w:fldCharType="end"/>
      </w:r>
    </w:p>
    <w:p>
      <w:pPr>
        <w:pStyle w:val="3"/>
      </w:pPr>
      <w:bookmarkStart w:id="1" w:name="_Toc28389"/>
      <w:r>
        <w:rPr>
          <w:rFonts w:hint="eastAsia"/>
        </w:rPr>
        <w:t>范围</w:t>
      </w:r>
      <w:bookmarkEnd w:id="1"/>
    </w:p>
    <w:p>
      <w:pPr>
        <w:ind w:firstLine="480" w:firstLineChars="0"/>
      </w:pPr>
      <w:r>
        <w:rPr>
          <w:rFonts w:hint="eastAsia"/>
          <w:b/>
          <w:bCs/>
        </w:rPr>
        <w:t>1.0.1</w:t>
      </w:r>
      <w:r>
        <w:rPr>
          <w:rFonts w:hint="eastAsia"/>
        </w:rPr>
        <w:t xml:space="preserve">  为规范施工废水处理的处理方法以及一体化设备的生产制造，提高设备的标准化程度，保证产品质量，作为组织生产和产品检验的依据，制定本标准。</w:t>
      </w:r>
    </w:p>
    <w:p>
      <w:pPr>
        <w:pStyle w:val="18"/>
        <w:rPr>
          <w:rFonts w:hint="eastAsia"/>
        </w:rPr>
      </w:pPr>
    </w:p>
    <w:p>
      <w:pPr>
        <w:ind w:firstLine="482"/>
      </w:pPr>
      <w:r>
        <w:rPr>
          <w:rFonts w:hint="eastAsia"/>
          <w:b/>
          <w:bCs/>
        </w:rPr>
        <w:t xml:space="preserve">1.0.2  </w:t>
      </w:r>
      <w:r>
        <w:rPr>
          <w:rFonts w:hint="eastAsia"/>
        </w:rPr>
        <w:t>本标准适用于隧道施工废水的处理，如钻爆法隧道废水、盾构法隧道废水。单机处理能力不大于7500 m</w:t>
      </w:r>
      <w:r>
        <w:rPr>
          <w:rFonts w:hint="eastAsia"/>
          <w:vertAlign w:val="superscript"/>
        </w:rPr>
        <w:t>3</w:t>
      </w:r>
      <w:r>
        <w:rPr>
          <w:rFonts w:hint="eastAsia"/>
        </w:rPr>
        <w:t>/d。本标准规定了用于SS含量较高的废水处理装备——隧道施工废水快速处理成套技术装备（以下简称“一体化设备”）的术语和定义、命名与工艺原理、技术要求、试验方法、检验规则及标识、包装、运输和贮存等内容。</w:t>
      </w:r>
    </w:p>
    <w:p>
      <w:pPr>
        <w:pStyle w:val="18"/>
        <w:rPr>
          <w:rFonts w:hint="eastAsia"/>
        </w:rPr>
      </w:pPr>
    </w:p>
    <w:p>
      <w:pPr>
        <w:ind w:firstLine="482"/>
      </w:pPr>
      <w:r>
        <w:rPr>
          <w:rFonts w:hint="eastAsia"/>
          <w:b/>
          <w:bCs/>
        </w:rPr>
        <w:t xml:space="preserve">1.0.3  </w:t>
      </w:r>
      <w:r>
        <w:rPr>
          <w:rFonts w:hint="eastAsia"/>
        </w:rPr>
        <w:t>隧道废水处理应采用技术可靠、经济合理的技术工艺，鼓励采用新技术、新工艺、新材料和新设备。</w:t>
      </w:r>
    </w:p>
    <w:p>
      <w:pPr>
        <w:pStyle w:val="18"/>
        <w:rPr>
          <w:rFonts w:hint="eastAsia"/>
        </w:rPr>
      </w:pPr>
    </w:p>
    <w:p>
      <w:pPr>
        <w:ind w:firstLine="482"/>
      </w:pPr>
      <w:r>
        <w:rPr>
          <w:rFonts w:hint="eastAsia"/>
          <w:b/>
          <w:bCs/>
        </w:rPr>
        <w:t xml:space="preserve">1.0.4  </w:t>
      </w:r>
      <w:r>
        <w:rPr>
          <w:rFonts w:hint="eastAsia"/>
        </w:rPr>
        <w:t>隧道废水处理除应符合本标准外，尚应符合国家、行业和地方现行有关标准的规定。</w:t>
      </w:r>
    </w:p>
    <w:p>
      <w:pPr>
        <w:pStyle w:val="3"/>
        <w:sectPr>
          <w:headerReference r:id="rId16" w:type="default"/>
          <w:footerReference r:id="rId17" w:type="default"/>
          <w:footerReference r:id="rId18" w:type="even"/>
          <w:pgSz w:w="11906" w:h="16838"/>
          <w:pgMar w:top="1440" w:right="1800" w:bottom="1440" w:left="1800" w:header="851" w:footer="992" w:gutter="0"/>
          <w:pgNumType w:fmt="numberInDash" w:start="1"/>
          <w:cols w:space="425" w:num="1"/>
          <w:docGrid w:type="lines" w:linePitch="312" w:charSpace="0"/>
        </w:sectPr>
      </w:pPr>
      <w:bookmarkStart w:id="2" w:name="_Toc9206"/>
    </w:p>
    <w:p>
      <w:pPr>
        <w:pStyle w:val="3"/>
      </w:pPr>
      <w:r>
        <w:rPr>
          <w:rFonts w:hint="eastAsia"/>
        </w:rPr>
        <w:t>规范性引用文件</w:t>
      </w:r>
      <w:bookmarkEnd w:id="2"/>
    </w:p>
    <w:p>
      <w:pPr>
        <w:ind w:firstLine="480"/>
      </w:pPr>
      <w:r>
        <w:rPr>
          <w:rFonts w:hint="eastAsia"/>
        </w:rPr>
        <w:t>下列文件中的条款通过本标准的引用而成为本标准的条款。凡是注日期的引用文件，仅注日期的版本适用于本文件。凡是不注日期的引用文件，其最新版本（包括所有的修改单）适用于本文件。</w:t>
      </w:r>
    </w:p>
    <w:p>
      <w:pPr>
        <w:ind w:firstLine="480"/>
      </w:pPr>
      <w:r>
        <w:rPr>
          <w:rFonts w:hint="eastAsia"/>
        </w:rPr>
        <w:t>GB/T 1.1-2020  标准化工作导则  第1部分：标准的结构和编写</w:t>
      </w:r>
    </w:p>
    <w:p>
      <w:pPr>
        <w:ind w:firstLine="480"/>
      </w:pPr>
      <w:r>
        <w:rPr>
          <w:rFonts w:hint="eastAsia"/>
        </w:rPr>
        <w:t>GB/T 700-2006  碳素结构钢</w:t>
      </w:r>
    </w:p>
    <w:p>
      <w:pPr>
        <w:ind w:firstLine="480"/>
      </w:pPr>
      <w:r>
        <w:rPr>
          <w:rFonts w:hint="eastAsia"/>
        </w:rPr>
        <w:t>GB/T 3280-2007  不锈钢冷轧钢板和钢带</w:t>
      </w:r>
    </w:p>
    <w:p>
      <w:pPr>
        <w:ind w:firstLine="480"/>
      </w:pPr>
      <w:r>
        <w:rPr>
          <w:rFonts w:hint="eastAsia"/>
        </w:rPr>
        <w:t>GB/T 4171-2008  高耐候结构钢</w:t>
      </w:r>
    </w:p>
    <w:p>
      <w:pPr>
        <w:ind w:firstLine="480"/>
      </w:pPr>
      <w:r>
        <w:rPr>
          <w:rFonts w:hint="eastAsia"/>
        </w:rPr>
        <w:t>GB/T 4219.1-2008  工业用硬聚氯乙烯（PVC-U）管道系统 第1部分：管材</w:t>
      </w:r>
    </w:p>
    <w:p>
      <w:pPr>
        <w:ind w:firstLine="480"/>
      </w:pPr>
      <w:r>
        <w:rPr>
          <w:rFonts w:hint="eastAsia"/>
        </w:rPr>
        <w:t>GB/T 12771-2008  流体输送用不锈钢焊接钢管</w:t>
      </w:r>
    </w:p>
    <w:p>
      <w:pPr>
        <w:ind w:firstLine="480"/>
      </w:pPr>
      <w:r>
        <w:rPr>
          <w:rFonts w:hint="eastAsia"/>
        </w:rPr>
        <w:t>GB/T 3091-2015  低压流体输送用焊接钢管</w:t>
      </w:r>
    </w:p>
    <w:p>
      <w:pPr>
        <w:ind w:firstLine="480"/>
      </w:pPr>
      <w:r>
        <w:rPr>
          <w:rFonts w:hint="eastAsia"/>
        </w:rPr>
        <w:t>GB/T 1804-2000  一般公差未注公差的线性和角度尺寸的公差</w:t>
      </w:r>
    </w:p>
    <w:p>
      <w:pPr>
        <w:ind w:firstLine="480"/>
      </w:pPr>
      <w:r>
        <w:rPr>
          <w:rFonts w:hint="eastAsia"/>
        </w:rPr>
        <w:t>GB/T 50235-2010  工业金属管道工程施工规范</w:t>
      </w:r>
    </w:p>
    <w:p>
      <w:pPr>
        <w:ind w:firstLine="480"/>
      </w:pPr>
      <w:r>
        <w:rPr>
          <w:rFonts w:hint="eastAsia"/>
        </w:rPr>
        <w:t>GB 7231-2003  工业管道的基本识别色、识别符号和安全标示</w:t>
      </w:r>
    </w:p>
    <w:p>
      <w:pPr>
        <w:ind w:firstLine="480"/>
      </w:pPr>
      <w:r>
        <w:rPr>
          <w:rFonts w:hint="eastAsia"/>
        </w:rPr>
        <w:t>GB/T 12469-1990  焊接质量保证钢熔化焊接头的要求和缺陷分级</w:t>
      </w:r>
    </w:p>
    <w:p>
      <w:pPr>
        <w:ind w:firstLine="480"/>
      </w:pPr>
      <w:r>
        <w:rPr>
          <w:rFonts w:hint="eastAsia"/>
        </w:rPr>
        <w:t>GB/T 985.1-2008  气焊、焊条电弧焊、气体保护焊和高能束焊的推荐坡口</w:t>
      </w:r>
    </w:p>
    <w:p>
      <w:pPr>
        <w:ind w:firstLine="480"/>
      </w:pPr>
      <w:r>
        <w:rPr>
          <w:rFonts w:hint="eastAsia"/>
        </w:rPr>
        <w:t>GB/T 8923.1-2011  涂覆涂料前钢材表面处理 表面清洁度的目视评定 第1部分：未涂覆过的钢材表面和全面清除原有涂层后的钢材表面的锈蚀等级和除锈等级</w:t>
      </w:r>
    </w:p>
    <w:p>
      <w:pPr>
        <w:ind w:firstLine="480"/>
      </w:pPr>
      <w:r>
        <w:rPr>
          <w:rFonts w:hint="eastAsia"/>
        </w:rPr>
        <w:t>GB/T 31361-2015  无溶剂环氧液体涂料的防腐蚀涂装</w:t>
      </w:r>
    </w:p>
    <w:p>
      <w:pPr>
        <w:ind w:firstLine="480"/>
      </w:pPr>
      <w:r>
        <w:rPr>
          <w:rFonts w:hint="eastAsia"/>
        </w:rPr>
        <w:t>GB/T 30790.7-2014  色漆和清漆防护涂料体系对钢结构的防腐蚀保护</w:t>
      </w:r>
    </w:p>
    <w:p>
      <w:pPr>
        <w:ind w:firstLine="480"/>
      </w:pPr>
      <w:r>
        <w:rPr>
          <w:rFonts w:hint="eastAsia"/>
        </w:rPr>
        <w:t>GB/T 9286-1998  色漆和清漆漆膜的划格试验</w:t>
      </w:r>
    </w:p>
    <w:p>
      <w:pPr>
        <w:ind w:firstLine="480"/>
      </w:pPr>
      <w:r>
        <w:rPr>
          <w:rFonts w:hint="eastAsia"/>
        </w:rPr>
        <w:t>HG/T 4077-2009  防腐蚀涂层涂装技术规范</w:t>
      </w:r>
      <w:r>
        <w:rPr>
          <w:rFonts w:hint="eastAsia"/>
        </w:rPr>
        <w:tab/>
      </w:r>
    </w:p>
    <w:p>
      <w:pPr>
        <w:ind w:firstLine="480"/>
      </w:pPr>
      <w:r>
        <w:rPr>
          <w:rFonts w:hint="eastAsia"/>
        </w:rPr>
        <w:t>GB 19517  国家电气设备安全技术规范</w:t>
      </w:r>
    </w:p>
    <w:p>
      <w:pPr>
        <w:ind w:firstLine="480"/>
      </w:pPr>
      <w:r>
        <w:rPr>
          <w:rFonts w:hint="eastAsia"/>
        </w:rPr>
        <w:t>GB/T 522.61-2008  机械电气安全 机械电气设备 第1部分：通用技术条件</w:t>
      </w:r>
    </w:p>
    <w:p>
      <w:pPr>
        <w:ind w:firstLine="480"/>
      </w:pPr>
      <w:r>
        <w:rPr>
          <w:rFonts w:hint="eastAsia"/>
        </w:rPr>
        <w:t>GB 7251.1  低压成套开关设备和控制设备 第1 部分：总则</w:t>
      </w:r>
    </w:p>
    <w:p>
      <w:pPr>
        <w:ind w:firstLine="480"/>
      </w:pPr>
      <w:r>
        <w:rPr>
          <w:rFonts w:hint="eastAsia"/>
        </w:rPr>
        <w:t>GB 18613-2012  中小型三相异步电动机能效限定值及能效等级</w:t>
      </w:r>
    </w:p>
    <w:p>
      <w:pPr>
        <w:ind w:firstLine="480"/>
      </w:pPr>
      <w:r>
        <w:rPr>
          <w:rFonts w:hint="eastAsia"/>
        </w:rPr>
        <w:t>GB/T 3797-2005  电气控制设备</w:t>
      </w:r>
    </w:p>
    <w:p>
      <w:pPr>
        <w:ind w:firstLine="480"/>
      </w:pPr>
      <w:r>
        <w:rPr>
          <w:rFonts w:hint="eastAsia"/>
        </w:rPr>
        <w:t>GB/T 4208-2017  外壳防护等级（IP代码）</w:t>
      </w:r>
    </w:p>
    <w:p>
      <w:pPr>
        <w:ind w:firstLine="480"/>
      </w:pPr>
      <w:r>
        <w:rPr>
          <w:rFonts w:hint="eastAsia"/>
        </w:rPr>
        <w:t>GB/T 825-1988  吊环螺钉</w:t>
      </w:r>
    </w:p>
    <w:p>
      <w:pPr>
        <w:ind w:firstLine="480"/>
      </w:pPr>
      <w:r>
        <w:rPr>
          <w:rFonts w:hint="eastAsia"/>
        </w:rPr>
        <w:t>GB/T 2894  安全标志及其使用导则</w:t>
      </w:r>
    </w:p>
    <w:p>
      <w:pPr>
        <w:ind w:firstLine="480"/>
      </w:pPr>
      <w:r>
        <w:rPr>
          <w:rFonts w:hint="eastAsia"/>
        </w:rPr>
        <w:t>GB/T 13384-2008  机电产品包装通用技术条件</w:t>
      </w:r>
    </w:p>
    <w:p>
      <w:pPr>
        <w:ind w:firstLine="480"/>
      </w:pPr>
      <w:r>
        <w:rPr>
          <w:rFonts w:hint="eastAsia"/>
        </w:rPr>
        <w:t>GB/T 6388-1986  运输包装收发货标志</w:t>
      </w:r>
    </w:p>
    <w:p>
      <w:pPr>
        <w:ind w:firstLine="480"/>
      </w:pPr>
      <w:r>
        <w:rPr>
          <w:rFonts w:hint="eastAsia"/>
        </w:rPr>
        <w:t>GB/T 191-2008  包装储运图示标志</w:t>
      </w:r>
    </w:p>
    <w:p>
      <w:pPr>
        <w:ind w:firstLine="480"/>
      </w:pPr>
      <w:r>
        <w:rPr>
          <w:rFonts w:hint="eastAsia"/>
        </w:rPr>
        <w:t>GB/T 13306-2011  标牌</w:t>
      </w:r>
    </w:p>
    <w:p>
      <w:pPr>
        <w:ind w:firstLine="480"/>
      </w:pPr>
      <w:r>
        <w:rPr>
          <w:rFonts w:hint="eastAsia"/>
        </w:rPr>
        <w:t>GB/T 9969-2008  工业产品使用说明书</w:t>
      </w:r>
    </w:p>
    <w:p>
      <w:pPr>
        <w:ind w:firstLine="480"/>
      </w:pPr>
      <w:r>
        <w:rPr>
          <w:rFonts w:hint="eastAsia"/>
        </w:rPr>
        <w:t>JB/T 5995-1992  机电产品使用说明书编写规定</w:t>
      </w:r>
    </w:p>
    <w:p>
      <w:pPr>
        <w:ind w:firstLine="480"/>
      </w:pPr>
      <w:r>
        <w:rPr>
          <w:rFonts w:hint="eastAsia"/>
        </w:rPr>
        <w:t>HJ/T 336-2006  环境保护产品技术要求 潜水排污泵</w:t>
      </w:r>
    </w:p>
    <w:p>
      <w:pPr>
        <w:ind w:firstLine="480"/>
      </w:pPr>
      <w:r>
        <w:rPr>
          <w:rFonts w:hint="eastAsia"/>
        </w:rPr>
        <w:t>HJ/J 251-2006  环境保护产品技术要求 罗茨鼓风机</w:t>
      </w:r>
    </w:p>
    <w:p>
      <w:pPr>
        <w:ind w:firstLine="480"/>
      </w:pPr>
      <w:r>
        <w:rPr>
          <w:rFonts w:hint="eastAsia"/>
        </w:rPr>
        <w:t>HJ/T 367-2007  环境保护产品技术要求 电磁管道流量计</w:t>
      </w:r>
    </w:p>
    <w:p>
      <w:pPr>
        <w:ind w:firstLine="480"/>
      </w:pPr>
      <w:r>
        <w:rPr>
          <w:rFonts w:hint="eastAsia"/>
        </w:rPr>
        <w:t>CJ/T 83  水处理用斜管</w:t>
      </w:r>
    </w:p>
    <w:p>
      <w:pPr>
        <w:ind w:firstLine="480"/>
      </w:pPr>
      <w:r>
        <w:rPr>
          <w:rFonts w:hint="eastAsia"/>
        </w:rPr>
        <w:t>GB 8978-1996  废水综合排放标准</w:t>
      </w:r>
    </w:p>
    <w:p>
      <w:pPr>
        <w:ind w:firstLine="480"/>
      </w:pPr>
      <w:r>
        <w:rPr>
          <w:rFonts w:hint="eastAsia"/>
        </w:rPr>
        <w:t>GB 11901  水质 悬浮物的测定 重量法</w:t>
      </w:r>
    </w:p>
    <w:p>
      <w:pPr>
        <w:ind w:firstLine="480"/>
      </w:pPr>
      <w:r>
        <w:rPr>
          <w:rFonts w:hint="eastAsia"/>
        </w:rPr>
        <w:t>HJ 1147  水质 pH值的测定 电极法</w:t>
      </w:r>
    </w:p>
    <w:p>
      <w:pPr>
        <w:ind w:firstLine="480"/>
      </w:pPr>
      <w:r>
        <w:rPr>
          <w:rFonts w:hint="eastAsia"/>
        </w:rPr>
        <w:t>QC/T 846-2011  重型平板运输车通用技术条件</w:t>
      </w:r>
    </w:p>
    <w:p>
      <w:pPr>
        <w:ind w:firstLine="480"/>
      </w:pPr>
      <w:r>
        <w:rPr>
          <w:rFonts w:hint="eastAsia"/>
        </w:rPr>
        <w:t>NB/T 47003.1  钢制焊接常压容器</w:t>
      </w:r>
    </w:p>
    <w:p>
      <w:pPr>
        <w:pStyle w:val="3"/>
        <w:sectPr>
          <w:headerReference r:id="rId19" w:type="default"/>
          <w:footerReference r:id="rId21" w:type="default"/>
          <w:headerReference r:id="rId20" w:type="even"/>
          <w:footerReference r:id="rId22" w:type="even"/>
          <w:pgSz w:w="11906" w:h="16838"/>
          <w:pgMar w:top="1440" w:right="1800" w:bottom="1440" w:left="1800" w:header="851" w:footer="992" w:gutter="0"/>
          <w:pgNumType w:fmt="numberInDash"/>
          <w:cols w:space="425" w:num="1"/>
          <w:docGrid w:type="lines" w:linePitch="312" w:charSpace="0"/>
        </w:sectPr>
      </w:pPr>
      <w:bookmarkStart w:id="3" w:name="_Toc28888"/>
    </w:p>
    <w:p>
      <w:pPr>
        <w:pStyle w:val="3"/>
      </w:pPr>
      <w:r>
        <w:rPr>
          <w:rFonts w:hint="eastAsia"/>
        </w:rPr>
        <w:t>术语</w:t>
      </w:r>
      <w:bookmarkEnd w:id="3"/>
    </w:p>
    <w:p>
      <w:pPr>
        <w:ind w:firstLine="480"/>
      </w:pPr>
      <w:r>
        <w:rPr>
          <w:rFonts w:hint="eastAsia"/>
        </w:rPr>
        <w:t>下列术语和定义适用于本文件</w:t>
      </w:r>
    </w:p>
    <w:p>
      <w:pPr>
        <w:pStyle w:val="4"/>
        <w:spacing w:before="468" w:after="468"/>
      </w:pPr>
      <w:bookmarkStart w:id="4" w:name="_Toc29086"/>
      <w:r>
        <w:t>隧道施工废水快速处理成套技术装备 complete set of technical equipment for rapid treatment of tunnel construction sewage</w:t>
      </w:r>
      <w:bookmarkEnd w:id="4"/>
    </w:p>
    <w:p>
      <w:pPr>
        <w:ind w:firstLine="480"/>
      </w:pPr>
      <w:r>
        <w:t>集化学混凝、机械搅拌、加载沉淀、斜管分离等各种有利于固液分离的技术于一体的废水处理设备。</w:t>
      </w:r>
    </w:p>
    <w:p>
      <w:pPr>
        <w:pStyle w:val="4"/>
        <w:spacing w:before="468" w:after="468"/>
      </w:pPr>
      <w:bookmarkStart w:id="5" w:name="_Toc30205"/>
      <w:r>
        <w:t>化学混凝 chemical flocculation</w:t>
      </w:r>
      <w:bookmarkEnd w:id="5"/>
    </w:p>
    <w:p>
      <w:pPr>
        <w:ind w:firstLine="480"/>
      </w:pPr>
      <w:r>
        <w:t>化学混凝，是指在废水中投加化学药剂来破坏胶体及细微悬浮物颗粒在水中形成的稳定分散体系，使其聚集为具有明显沉降性能的絮凝体，然后再用重力沉降，过滤，气浮等方法予以分离的单元过程。</w:t>
      </w:r>
    </w:p>
    <w:p>
      <w:pPr>
        <w:pStyle w:val="4"/>
        <w:spacing w:before="468" w:after="468"/>
      </w:pPr>
      <w:bookmarkStart w:id="6" w:name="_Toc24063"/>
      <w:r>
        <w:t>机械搅拌 mechanical agitation</w:t>
      </w:r>
      <w:bookmarkEnd w:id="6"/>
    </w:p>
    <w:p>
      <w:pPr>
        <w:ind w:firstLine="480"/>
      </w:pPr>
      <w:r>
        <w:t>机械搅拌，是指依靠搅拌器在搅拌槽中转动对液体进行搅拌，是化工生产中将气体、液体或固体颗粒分散于液体中的常用方法。</w:t>
      </w:r>
    </w:p>
    <w:p>
      <w:pPr>
        <w:pStyle w:val="4"/>
        <w:spacing w:before="468" w:after="468"/>
      </w:pPr>
      <w:bookmarkStart w:id="7" w:name="_Toc27404"/>
      <w:r>
        <w:t>加载沉淀 loading precipitation</w:t>
      </w:r>
      <w:bookmarkEnd w:id="7"/>
    </w:p>
    <w:p>
      <w:pPr>
        <w:ind w:firstLine="480"/>
      </w:pPr>
      <w:r>
        <w:t>加载沉淀，是指在废水中加入细砂、矿物颗粒、磁种等高密度或磁性不溶颗粒载体，利用载体的吸附能力、以及载体的重力沉降能力或磁性作用加快絮体形成和沉淀的方法。</w:t>
      </w:r>
    </w:p>
    <w:p>
      <w:pPr>
        <w:pStyle w:val="4"/>
        <w:spacing w:before="468" w:after="468"/>
      </w:pPr>
      <w:bookmarkStart w:id="8" w:name="_Toc18262"/>
      <w:r>
        <w:t>斜管分离 oblique tube separation</w:t>
      </w:r>
      <w:bookmarkEnd w:id="8"/>
    </w:p>
    <w:p>
      <w:pPr>
        <w:ind w:firstLine="480"/>
      </w:pPr>
      <w:r>
        <w:t>斜管分离，是指利用倾斜的平行管或平行管道（有时可利用蜂窝填料）分割成一系列浅层沉淀层，使被处理的和沉降的沉泥在各沉淀浅层中相互运动并分离的方法。</w:t>
      </w:r>
    </w:p>
    <w:p>
      <w:pPr>
        <w:pStyle w:val="3"/>
        <w:sectPr>
          <w:headerReference r:id="rId23" w:type="default"/>
          <w:headerReference r:id="rId24" w:type="even"/>
          <w:pgSz w:w="11906" w:h="16838"/>
          <w:pgMar w:top="1440" w:right="1800" w:bottom="1440" w:left="1800" w:header="851" w:footer="992" w:gutter="0"/>
          <w:pgNumType w:fmt="numberInDash"/>
          <w:cols w:space="425" w:num="1"/>
          <w:docGrid w:type="lines" w:linePitch="312" w:charSpace="0"/>
        </w:sectPr>
      </w:pPr>
      <w:bookmarkStart w:id="9" w:name="_Toc28694"/>
    </w:p>
    <w:p>
      <w:pPr>
        <w:pStyle w:val="3"/>
      </w:pPr>
      <w:r>
        <w:rPr>
          <w:rFonts w:hint="eastAsia"/>
        </w:rPr>
        <w:t>技术要求</w:t>
      </w:r>
      <w:bookmarkEnd w:id="9"/>
    </w:p>
    <w:p>
      <w:pPr>
        <w:pStyle w:val="4"/>
        <w:spacing w:before="468" w:after="468"/>
      </w:pPr>
      <w:bookmarkStart w:id="10" w:name="_Toc9520"/>
      <w:r>
        <w:rPr>
          <w:rFonts w:hint="eastAsia"/>
        </w:rPr>
        <w:t>适用场景</w:t>
      </w:r>
      <w:bookmarkEnd w:id="10"/>
    </w:p>
    <w:p>
      <w:pPr>
        <w:ind w:firstLine="480"/>
      </w:pPr>
      <w:r>
        <w:rPr>
          <w:rFonts w:hint="eastAsia"/>
        </w:rPr>
        <w:t>适用于隧道施工废水的处理，如钻爆法隧道废水、盾构法隧道废水。</w:t>
      </w:r>
    </w:p>
    <w:p>
      <w:pPr>
        <w:pStyle w:val="4"/>
        <w:spacing w:before="468" w:after="468"/>
      </w:pPr>
      <w:bookmarkStart w:id="11" w:name="_Toc32578"/>
      <w:r>
        <w:rPr>
          <w:rFonts w:hint="eastAsia"/>
        </w:rPr>
        <w:t>适用条件</w:t>
      </w:r>
      <w:bookmarkEnd w:id="11"/>
    </w:p>
    <w:p>
      <w:pPr>
        <w:ind w:firstLine="480"/>
      </w:pPr>
      <w:r>
        <w:rPr>
          <w:rFonts w:hint="eastAsia"/>
        </w:rPr>
        <w:t>一体化设备的适用工作条件如下：</w:t>
      </w:r>
    </w:p>
    <w:p>
      <w:pPr>
        <w:ind w:firstLine="480"/>
      </w:pPr>
      <w:r>
        <w:rPr>
          <w:rFonts w:hint="eastAsia"/>
        </w:rPr>
        <w:t>a） 环境温度应为5 ℃-55 ℃，低温时（-20 ℃～5 ℃）应进行保温措施或埋设在冻土层以下；</w:t>
      </w:r>
    </w:p>
    <w:p>
      <w:pPr>
        <w:ind w:firstLine="480"/>
      </w:pPr>
      <w:r>
        <w:rPr>
          <w:rFonts w:hint="eastAsia"/>
        </w:rPr>
        <w:t>b） 进水水质符合表1中的进水指标；</w:t>
      </w:r>
    </w:p>
    <w:p>
      <w:pPr>
        <w:ind w:firstLine="480"/>
      </w:pPr>
      <w:r>
        <w:rPr>
          <w:rFonts w:hint="eastAsia"/>
        </w:rPr>
        <w:t>c） 进水水温不应大于40 ℃；</w:t>
      </w:r>
    </w:p>
    <w:p>
      <w:pPr>
        <w:ind w:firstLine="480"/>
      </w:pPr>
      <w:r>
        <w:rPr>
          <w:rFonts w:hint="eastAsia"/>
        </w:rPr>
        <w:t>d） 输入电压应为380 V±20 V。</w:t>
      </w:r>
    </w:p>
    <w:p>
      <w:pPr>
        <w:pStyle w:val="33"/>
        <w:ind w:firstLine="0" w:firstLineChars="0"/>
      </w:pPr>
      <w:r>
        <w:rPr>
          <w:rFonts w:hint="eastAsia"/>
        </w:rPr>
        <w:t>表1 进出水水质要求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196"/>
        <w:gridCol w:w="1790"/>
        <w:gridCol w:w="18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Borders>
              <w:top w:val="single" w:color="auto" w:sz="12" w:space="0"/>
              <w:left w:val="single" w:color="auto" w:sz="12" w:space="0"/>
              <w:bottom w:val="single" w:color="auto" w:sz="12" w:space="0"/>
            </w:tcBorders>
          </w:tcPr>
          <w:p>
            <w:pPr>
              <w:pStyle w:val="34"/>
              <w:rPr>
                <w:rFonts w:hint="default"/>
              </w:rPr>
            </w:pPr>
            <w:r>
              <w:t>序号</w:t>
            </w:r>
          </w:p>
        </w:tc>
        <w:tc>
          <w:tcPr>
            <w:tcW w:w="2459" w:type="dxa"/>
            <w:tcBorders>
              <w:top w:val="single" w:color="auto" w:sz="12" w:space="0"/>
              <w:bottom w:val="single" w:color="auto" w:sz="12" w:space="0"/>
            </w:tcBorders>
          </w:tcPr>
          <w:p>
            <w:pPr>
              <w:pStyle w:val="34"/>
              <w:rPr>
                <w:rFonts w:hint="default"/>
              </w:rPr>
            </w:pPr>
            <w:r>
              <w:t>项目名称</w:t>
            </w:r>
          </w:p>
        </w:tc>
        <w:tc>
          <w:tcPr>
            <w:tcW w:w="2012" w:type="dxa"/>
            <w:tcBorders>
              <w:top w:val="single" w:color="auto" w:sz="12" w:space="0"/>
              <w:bottom w:val="single" w:color="auto" w:sz="12" w:space="0"/>
            </w:tcBorders>
          </w:tcPr>
          <w:p>
            <w:pPr>
              <w:pStyle w:val="34"/>
              <w:rPr>
                <w:rFonts w:hint="default"/>
              </w:rPr>
            </w:pPr>
            <w:r>
              <w:t>单位</w:t>
            </w:r>
          </w:p>
        </w:tc>
        <w:tc>
          <w:tcPr>
            <w:tcW w:w="2040" w:type="dxa"/>
            <w:tcBorders>
              <w:top w:val="single" w:color="auto" w:sz="12" w:space="0"/>
              <w:bottom w:val="single" w:color="auto" w:sz="12" w:space="0"/>
            </w:tcBorders>
          </w:tcPr>
          <w:p>
            <w:pPr>
              <w:pStyle w:val="34"/>
              <w:rPr>
                <w:rFonts w:hint="default"/>
              </w:rPr>
            </w:pPr>
            <w:r>
              <w:t>进水指标</w:t>
            </w:r>
          </w:p>
        </w:tc>
        <w:tc>
          <w:tcPr>
            <w:tcW w:w="2040" w:type="dxa"/>
            <w:tcBorders>
              <w:top w:val="single" w:color="auto" w:sz="12" w:space="0"/>
              <w:bottom w:val="single" w:color="auto" w:sz="12" w:space="0"/>
              <w:right w:val="single" w:color="auto" w:sz="12" w:space="0"/>
            </w:tcBorders>
          </w:tcPr>
          <w:p>
            <w:pPr>
              <w:pStyle w:val="34"/>
              <w:rPr>
                <w:rFonts w:hint="default"/>
              </w:rPr>
            </w:pPr>
            <w:r>
              <w:t>出水指标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Borders>
              <w:top w:val="single" w:color="auto" w:sz="12" w:space="0"/>
              <w:left w:val="single" w:color="auto" w:sz="12" w:space="0"/>
            </w:tcBorders>
          </w:tcPr>
          <w:p>
            <w:pPr>
              <w:pStyle w:val="34"/>
              <w:rPr>
                <w:rFonts w:hint="default"/>
              </w:rPr>
            </w:pPr>
            <w:r>
              <w:t>1</w:t>
            </w:r>
          </w:p>
        </w:tc>
        <w:tc>
          <w:tcPr>
            <w:tcW w:w="2459" w:type="dxa"/>
            <w:tcBorders>
              <w:top w:val="single" w:color="auto" w:sz="12" w:space="0"/>
            </w:tcBorders>
          </w:tcPr>
          <w:p>
            <w:pPr>
              <w:pStyle w:val="34"/>
              <w:rPr>
                <w:rFonts w:hint="default"/>
              </w:rPr>
            </w:pPr>
            <w:r>
              <w:t>悬浮物（SS）</w:t>
            </w:r>
          </w:p>
        </w:tc>
        <w:tc>
          <w:tcPr>
            <w:tcW w:w="2012" w:type="dxa"/>
            <w:tcBorders>
              <w:top w:val="single" w:color="auto" w:sz="12" w:space="0"/>
            </w:tcBorders>
          </w:tcPr>
          <w:p>
            <w:pPr>
              <w:pStyle w:val="34"/>
              <w:rPr>
                <w:rFonts w:hint="default"/>
              </w:rPr>
            </w:pPr>
            <w:r>
              <w:t>mg/L</w:t>
            </w:r>
          </w:p>
        </w:tc>
        <w:tc>
          <w:tcPr>
            <w:tcW w:w="2040" w:type="dxa"/>
            <w:tcBorders>
              <w:top w:val="single" w:color="auto" w:sz="12" w:space="0"/>
            </w:tcBorders>
          </w:tcPr>
          <w:p>
            <w:pPr>
              <w:pStyle w:val="34"/>
              <w:rPr>
                <w:rFonts w:hint="default"/>
              </w:rPr>
            </w:pPr>
            <w:r>
              <w:t>≤5000</w:t>
            </w:r>
          </w:p>
        </w:tc>
        <w:tc>
          <w:tcPr>
            <w:tcW w:w="2040" w:type="dxa"/>
            <w:tcBorders>
              <w:top w:val="single" w:color="auto" w:sz="12" w:space="0"/>
              <w:right w:val="single" w:color="auto" w:sz="12" w:space="0"/>
            </w:tcBorders>
          </w:tcPr>
          <w:p>
            <w:pPr>
              <w:pStyle w:val="34"/>
              <w:rPr>
                <w:rFonts w:hint="default"/>
              </w:rPr>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Borders>
              <w:left w:val="single" w:color="auto" w:sz="12" w:space="0"/>
              <w:bottom w:val="single" w:color="auto" w:sz="12" w:space="0"/>
            </w:tcBorders>
          </w:tcPr>
          <w:p>
            <w:pPr>
              <w:pStyle w:val="34"/>
              <w:rPr>
                <w:rFonts w:hint="default"/>
              </w:rPr>
            </w:pPr>
            <w:r>
              <w:t>2</w:t>
            </w:r>
          </w:p>
        </w:tc>
        <w:tc>
          <w:tcPr>
            <w:tcW w:w="2459" w:type="dxa"/>
            <w:tcBorders>
              <w:bottom w:val="single" w:color="auto" w:sz="12" w:space="0"/>
            </w:tcBorders>
          </w:tcPr>
          <w:p>
            <w:pPr>
              <w:pStyle w:val="34"/>
              <w:rPr>
                <w:rFonts w:hint="default"/>
              </w:rPr>
            </w:pPr>
            <w:r>
              <w:t>pH值</w:t>
            </w:r>
          </w:p>
        </w:tc>
        <w:tc>
          <w:tcPr>
            <w:tcW w:w="2012" w:type="dxa"/>
            <w:tcBorders>
              <w:bottom w:val="single" w:color="auto" w:sz="12" w:space="0"/>
            </w:tcBorders>
          </w:tcPr>
          <w:p>
            <w:pPr>
              <w:pStyle w:val="34"/>
              <w:rPr>
                <w:rFonts w:hint="default"/>
              </w:rPr>
            </w:pPr>
            <w:r>
              <w:t>无量纲</w:t>
            </w:r>
          </w:p>
        </w:tc>
        <w:tc>
          <w:tcPr>
            <w:tcW w:w="2040" w:type="dxa"/>
            <w:tcBorders>
              <w:bottom w:val="single" w:color="auto" w:sz="12" w:space="0"/>
            </w:tcBorders>
          </w:tcPr>
          <w:p>
            <w:pPr>
              <w:pStyle w:val="34"/>
              <w:rPr>
                <w:rFonts w:hint="default"/>
              </w:rPr>
            </w:pPr>
            <w:r>
              <w:t>6～9</w:t>
            </w:r>
          </w:p>
        </w:tc>
        <w:tc>
          <w:tcPr>
            <w:tcW w:w="2040" w:type="dxa"/>
            <w:tcBorders>
              <w:bottom w:val="single" w:color="auto" w:sz="12" w:space="0"/>
              <w:right w:val="single" w:color="auto" w:sz="12" w:space="0"/>
            </w:tcBorders>
          </w:tcPr>
          <w:p>
            <w:pPr>
              <w:pStyle w:val="34"/>
              <w:rPr>
                <w:rFonts w:hint="default"/>
              </w:rPr>
            </w:pPr>
            <w:r>
              <w:t>6～9</w:t>
            </w:r>
          </w:p>
        </w:tc>
      </w:tr>
    </w:tbl>
    <w:p>
      <w:pPr>
        <w:ind w:firstLine="480"/>
      </w:pPr>
      <w:r>
        <w:rPr>
          <w:rFonts w:hint="eastAsia"/>
        </w:rPr>
        <w:t>注：水质达不到进水要求时，应进行预处理，达到进水要求后方可进水，出水悬浮物、pH满足《污水综合排放标准》GB8978-1996中其他排污单位的一级标准。</w:t>
      </w:r>
    </w:p>
    <w:p>
      <w:pPr>
        <w:pStyle w:val="4"/>
        <w:spacing w:before="468" w:after="468"/>
      </w:pPr>
      <w:bookmarkStart w:id="12" w:name="_Toc11936"/>
      <w:r>
        <w:t>设备命名规则</w:t>
      </w:r>
      <w:bookmarkEnd w:id="12"/>
    </w:p>
    <w:p>
      <w:pPr>
        <w:ind w:firstLine="480"/>
      </w:pPr>
      <w:r>
        <w:t>一体化设备的基本命名方法如图1下：</w:t>
      </w:r>
    </w:p>
    <w:p>
      <w:pPr>
        <w:ind w:firstLine="480"/>
      </w:pPr>
      <w:r>
        <w:drawing>
          <wp:inline distT="0" distB="0" distL="114300" distR="114300">
            <wp:extent cx="5699760" cy="1149350"/>
            <wp:effectExtent l="0" t="0" r="15240" b="12700"/>
            <wp:docPr id="2" name="图片 1" descr="团标编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团标编码"/>
                    <pic:cNvPicPr>
                      <a:picLocks noChangeAspect="1"/>
                    </pic:cNvPicPr>
                  </pic:nvPicPr>
                  <pic:blipFill>
                    <a:blip r:embed="rId31"/>
                    <a:stretch>
                      <a:fillRect/>
                    </a:stretch>
                  </pic:blipFill>
                  <pic:spPr>
                    <a:xfrm>
                      <a:off x="0" y="0"/>
                      <a:ext cx="5699760" cy="1149350"/>
                    </a:xfrm>
                    <a:prstGeom prst="rect">
                      <a:avLst/>
                    </a:prstGeom>
                    <a:noFill/>
                    <a:ln>
                      <a:noFill/>
                    </a:ln>
                  </pic:spPr>
                </pic:pic>
              </a:graphicData>
            </a:graphic>
          </wp:inline>
        </w:drawing>
      </w:r>
    </w:p>
    <w:p>
      <w:pPr>
        <w:pStyle w:val="33"/>
        <w:ind w:firstLine="480"/>
      </w:pPr>
      <w:r>
        <w:t>图1 设备编码规则</w:t>
      </w:r>
    </w:p>
    <w:p>
      <w:pPr>
        <w:ind w:firstLine="480"/>
      </w:pPr>
      <w:r>
        <w:t>额定处理量范围为500～7500 m</w:t>
      </w:r>
      <w:r>
        <w:rPr>
          <w:vertAlign w:val="superscript"/>
        </w:rPr>
        <w:t>3</w:t>
      </w:r>
      <w:r>
        <w:t>/d，处理量按100 m</w:t>
      </w:r>
      <w:r>
        <w:rPr>
          <w:vertAlign w:val="superscript"/>
        </w:rPr>
        <w:t>3</w:t>
      </w:r>
      <w:r>
        <w:t>/d一个数量级成倍增加。处理量为500 m</w:t>
      </w:r>
      <w:r>
        <w:rPr>
          <w:vertAlign w:val="superscript"/>
        </w:rPr>
        <w:t>3</w:t>
      </w:r>
      <w:r>
        <w:t>/d用“05”表示，处理量为5000 m</w:t>
      </w:r>
      <w:r>
        <w:rPr>
          <w:vertAlign w:val="superscript"/>
        </w:rPr>
        <w:t>3</w:t>
      </w:r>
      <w:r>
        <w:t>/d用“50”表示，处理量为7500 m</w:t>
      </w:r>
      <w:r>
        <w:rPr>
          <w:vertAlign w:val="superscript"/>
        </w:rPr>
        <w:t>3</w:t>
      </w:r>
      <w:r>
        <w:t>/d用“75”表示，以此类推。</w:t>
      </w:r>
    </w:p>
    <w:p>
      <w:pPr>
        <w:pStyle w:val="4"/>
        <w:spacing w:before="468" w:after="468"/>
      </w:pPr>
      <w:bookmarkStart w:id="13" w:name="_Toc10938"/>
      <w:r>
        <w:rPr>
          <w:rFonts w:hint="eastAsia"/>
        </w:rPr>
        <w:t>工艺</w:t>
      </w:r>
      <w:r>
        <w:t>原理</w:t>
      </w:r>
      <w:bookmarkEnd w:id="13"/>
    </w:p>
    <w:p>
      <w:pPr>
        <w:ind w:firstLine="480"/>
      </w:pPr>
      <w:r>
        <w:rPr>
          <w:rFonts w:hint="eastAsia"/>
        </w:rPr>
        <w:t>设备组成：</w:t>
      </w:r>
      <w:r>
        <w:t>一体化设备由混凝反应单元、絮凝反应单元、</w:t>
      </w:r>
      <w:r>
        <w:rPr>
          <w:rFonts w:hint="eastAsia"/>
        </w:rPr>
        <w:t>多效澄清</w:t>
      </w:r>
      <w:r>
        <w:t>单元、介质回收单元、控制与检测系统等组成。</w:t>
      </w:r>
    </w:p>
    <w:p>
      <w:pPr>
        <w:ind w:firstLine="480"/>
      </w:pPr>
      <w:r>
        <w:t>一体化设备的工艺原理见图2。</w:t>
      </w:r>
    </w:p>
    <w:p>
      <w:pPr>
        <w:ind w:firstLine="0" w:firstLineChars="0"/>
      </w:pPr>
      <w:r>
        <w:drawing>
          <wp:inline distT="0" distB="0" distL="114300" distR="114300">
            <wp:extent cx="5760720" cy="1746250"/>
            <wp:effectExtent l="0" t="0" r="11430" b="6350"/>
            <wp:docPr id="3" name="图片 2" descr="隧道废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隧道废水"/>
                    <pic:cNvPicPr>
                      <a:picLocks noChangeAspect="1"/>
                    </pic:cNvPicPr>
                  </pic:nvPicPr>
                  <pic:blipFill>
                    <a:blip r:embed="rId32"/>
                    <a:stretch>
                      <a:fillRect/>
                    </a:stretch>
                  </pic:blipFill>
                  <pic:spPr>
                    <a:xfrm>
                      <a:off x="0" y="0"/>
                      <a:ext cx="5760720" cy="1746250"/>
                    </a:xfrm>
                    <a:prstGeom prst="rect">
                      <a:avLst/>
                    </a:prstGeom>
                    <a:noFill/>
                    <a:ln>
                      <a:noFill/>
                    </a:ln>
                  </pic:spPr>
                </pic:pic>
              </a:graphicData>
            </a:graphic>
          </wp:inline>
        </w:drawing>
      </w:r>
    </w:p>
    <w:p>
      <w:pPr>
        <w:pStyle w:val="33"/>
        <w:ind w:firstLine="0" w:firstLineChars="0"/>
      </w:pPr>
      <w:r>
        <w:t>图2 一体化设备工艺原理图</w:t>
      </w:r>
    </w:p>
    <w:p>
      <w:pPr>
        <w:ind w:firstLine="480"/>
      </w:pPr>
      <w:r>
        <w:rPr>
          <w:rFonts w:hint="eastAsia"/>
        </w:rPr>
        <w:t>工艺原理说明：隧道施工生产废水通过格栅拦截大颗粒固体后进入调节池，调节池缓存废水经水泵提升至功能反应池投加药剂调节废水pH至中性，功能反应池废水进入一体化设备，在预混凝反应单元、混凝反应单元、絮凝反应单元中分别投加混凝剂、介质和絮凝剂；混凝絮体与介质有效结合后进行絮凝反应，可以形成大颗粒、高密度矾花，进入多效澄清单元后固液快速分离，表层清水流入清水池达标排放，底部含介质污泥一部分回流至絮凝反应单元，部分药剂可以再次利用；另外一部分进入介质回收单元，介质回收后进入絮凝反应池再次利用，剩余污泥进入污泥脱水系统进行脱水后外运处置。</w:t>
      </w:r>
    </w:p>
    <w:p>
      <w:pPr>
        <w:pStyle w:val="4"/>
        <w:spacing w:before="468" w:after="468"/>
      </w:pPr>
      <w:bookmarkStart w:id="14" w:name="_Toc3840"/>
      <w:r>
        <w:rPr>
          <w:rFonts w:hint="eastAsia"/>
        </w:rPr>
        <w:t>工艺要求</w:t>
      </w:r>
      <w:bookmarkEnd w:id="14"/>
    </w:p>
    <w:p>
      <w:pPr>
        <w:ind w:firstLine="482"/>
      </w:pPr>
      <w:r>
        <w:rPr>
          <w:rFonts w:hint="eastAsia"/>
          <w:b/>
        </w:rPr>
        <w:t xml:space="preserve">4.5.1 </w:t>
      </w:r>
      <w:r>
        <w:rPr>
          <w:b/>
        </w:rPr>
        <w:t xml:space="preserve"> </w:t>
      </w:r>
      <w:r>
        <w:rPr>
          <w:rFonts w:hint="eastAsia"/>
        </w:rPr>
        <w:t>产品应符合本标准的规定，并按照经规定程序批准的产品图样和技术文件制造、安装和使用。凡本标准、图样和技术文件未规定的技术要求，均应符合国家标准和行业标准等有关通用标准的规定。</w:t>
      </w:r>
    </w:p>
    <w:p>
      <w:pPr>
        <w:ind w:firstLine="482"/>
      </w:pPr>
      <w:r>
        <w:rPr>
          <w:rFonts w:hint="eastAsia"/>
          <w:b/>
        </w:rPr>
        <w:t>4.5.2</w:t>
      </w:r>
      <w:r>
        <w:rPr>
          <w:b/>
        </w:rPr>
        <w:t xml:space="preserve"> </w:t>
      </w:r>
      <w:r>
        <w:rPr>
          <w:rFonts w:hint="eastAsia"/>
          <w:b/>
        </w:rPr>
        <w:t xml:space="preserve"> </w:t>
      </w:r>
      <w:r>
        <w:rPr>
          <w:rFonts w:hint="eastAsia"/>
        </w:rPr>
        <w:t>一体化设备的处理单元有：拦污池、混凝池、絮凝池、多效澄清池、电控设备间等。</w:t>
      </w:r>
    </w:p>
    <w:p>
      <w:pPr>
        <w:ind w:firstLine="482"/>
      </w:pPr>
      <w:r>
        <w:rPr>
          <w:rFonts w:hint="eastAsia"/>
          <w:b/>
        </w:rPr>
        <w:t xml:space="preserve">4.5.3 </w:t>
      </w:r>
      <w:r>
        <w:rPr>
          <w:b/>
        </w:rPr>
        <w:t xml:space="preserve"> </w:t>
      </w:r>
      <w:r>
        <w:rPr>
          <w:rFonts w:hint="eastAsia"/>
        </w:rPr>
        <w:t>与一体化设备配套的主要设备有搅拌器、刮泥机、污泥泵、电磁流量计、旋流器、加药设备等。</w:t>
      </w:r>
    </w:p>
    <w:p>
      <w:pPr>
        <w:ind w:firstLine="482"/>
      </w:pPr>
      <w:r>
        <w:rPr>
          <w:rFonts w:hint="eastAsia"/>
          <w:b/>
        </w:rPr>
        <w:t>4.5.4</w:t>
      </w:r>
      <w:r>
        <w:rPr>
          <w:b/>
        </w:rPr>
        <w:t xml:space="preserve"> </w:t>
      </w:r>
      <w:r>
        <w:rPr>
          <w:rFonts w:hint="eastAsia"/>
          <w:b/>
        </w:rPr>
        <w:t xml:space="preserve"> </w:t>
      </w:r>
      <w:r>
        <w:rPr>
          <w:rFonts w:hint="eastAsia"/>
        </w:rPr>
        <w:t>一体化设备拦污池宜设置不锈钢提篮格栅，开孔率不小于20%，孔隙直径不大于10mm。</w:t>
      </w:r>
    </w:p>
    <w:p>
      <w:pPr>
        <w:ind w:firstLine="482"/>
      </w:pPr>
      <w:r>
        <w:rPr>
          <w:rFonts w:hint="eastAsia"/>
          <w:b/>
        </w:rPr>
        <w:t>4.5.5</w:t>
      </w:r>
      <w:r>
        <w:rPr>
          <w:b/>
        </w:rPr>
        <w:t xml:space="preserve">  </w:t>
      </w:r>
      <w:r>
        <w:rPr>
          <w:rFonts w:hint="eastAsia"/>
        </w:rPr>
        <w:t>一体化设备混凝池、絮凝池宜采用机械搅拌，且搅拌强度在100~150W/m</w:t>
      </w:r>
      <w:r>
        <w:rPr>
          <w:rFonts w:hint="eastAsia"/>
          <w:vertAlign w:val="superscript"/>
        </w:rPr>
        <w:t>3</w:t>
      </w:r>
      <w:r>
        <w:rPr>
          <w:rFonts w:hint="eastAsia"/>
        </w:rPr>
        <w:t>,混凝池水力停留时间在30s~120s之间，絮凝池水力停留时间在2~4min。</w:t>
      </w:r>
    </w:p>
    <w:p>
      <w:pPr>
        <w:ind w:firstLine="482"/>
      </w:pPr>
      <w:r>
        <w:rPr>
          <w:rFonts w:hint="eastAsia"/>
          <w:b/>
        </w:rPr>
        <w:t xml:space="preserve">4.5.6 </w:t>
      </w:r>
      <w:r>
        <w:rPr>
          <w:b/>
        </w:rPr>
        <w:t xml:space="preserve"> </w:t>
      </w:r>
      <w:r>
        <w:rPr>
          <w:rFonts w:hint="eastAsia"/>
        </w:rPr>
        <w:t>多效澄清池宜采用蜂窝斜管沉淀池，上升流速可大于40m/h，泥斗宜采用圆锥形，配置中心传动刮泥机，刮泥机传动速度不宜大于1rpm。</w:t>
      </w:r>
    </w:p>
    <w:p>
      <w:pPr>
        <w:ind w:firstLine="482"/>
      </w:pPr>
      <w:r>
        <w:rPr>
          <w:rFonts w:hint="eastAsia"/>
          <w:b/>
        </w:rPr>
        <w:t xml:space="preserve">4.5.7 </w:t>
      </w:r>
      <w:r>
        <w:rPr>
          <w:b/>
        </w:rPr>
        <w:t xml:space="preserve"> </w:t>
      </w:r>
      <w:r>
        <w:rPr>
          <w:rFonts w:hint="eastAsia"/>
        </w:rPr>
        <w:t>一体化设备总水力停留时间宜在10~30min之间。</w:t>
      </w:r>
    </w:p>
    <w:p>
      <w:pPr>
        <w:ind w:firstLine="482"/>
      </w:pPr>
      <w:r>
        <w:rPr>
          <w:rFonts w:hint="eastAsia"/>
          <w:b/>
        </w:rPr>
        <w:t xml:space="preserve">4.5.8 </w:t>
      </w:r>
      <w:r>
        <w:rPr>
          <w:b/>
        </w:rPr>
        <w:t xml:space="preserve"> </w:t>
      </w:r>
      <w:r>
        <w:rPr>
          <w:rFonts w:hint="eastAsia"/>
        </w:rPr>
        <w:t>一体化设备应按照设计图纸的要求预留设置的各种尺寸合适的孔，用作排空、清洗和维修。一体化设备应预留应急溢流口或事故旁通。</w:t>
      </w:r>
    </w:p>
    <w:p>
      <w:pPr>
        <w:ind w:firstLine="482"/>
      </w:pPr>
      <w:r>
        <w:rPr>
          <w:rFonts w:hint="eastAsia"/>
          <w:b/>
        </w:rPr>
        <w:t>4.5.9</w:t>
      </w:r>
      <w:r>
        <w:rPr>
          <w:b/>
        </w:rPr>
        <w:t xml:space="preserve">  </w:t>
      </w:r>
      <w:r>
        <w:rPr>
          <w:rFonts w:hint="eastAsia"/>
        </w:rPr>
        <w:t>流量测量仪表应选择电磁流量计，应符合HJ/T 367-2007的规定。液位计应选用电接点式、压力式或干簧管液位式。</w:t>
      </w:r>
    </w:p>
    <w:p>
      <w:pPr>
        <w:ind w:firstLine="482"/>
      </w:pPr>
      <w:r>
        <w:rPr>
          <w:rFonts w:hint="eastAsia"/>
          <w:b/>
        </w:rPr>
        <w:t>4.5.10</w:t>
      </w:r>
      <w:r>
        <w:rPr>
          <w:b/>
        </w:rPr>
        <w:t xml:space="preserve"> </w:t>
      </w:r>
      <w:r>
        <w:rPr>
          <w:rFonts w:hint="eastAsia"/>
          <w:b/>
        </w:rPr>
        <w:t xml:space="preserve"> </w:t>
      </w:r>
      <w:r>
        <w:rPr>
          <w:rFonts w:hint="eastAsia"/>
        </w:rPr>
        <w:t>塑料管道阀门的连接应符合HG 20520-1992的规定，金属管道安装与焊接符合GB 50235-2010的规定。</w:t>
      </w:r>
    </w:p>
    <w:p>
      <w:pPr>
        <w:pStyle w:val="4"/>
        <w:spacing w:before="468" w:after="468"/>
      </w:pPr>
      <w:bookmarkStart w:id="15" w:name="_Toc13026"/>
      <w:r>
        <w:rPr>
          <w:rFonts w:hint="eastAsia"/>
        </w:rPr>
        <w:t>材料要求</w:t>
      </w:r>
      <w:bookmarkEnd w:id="15"/>
    </w:p>
    <w:p>
      <w:pPr>
        <w:ind w:firstLine="482"/>
      </w:pPr>
      <w:r>
        <w:rPr>
          <w:rFonts w:hint="eastAsia"/>
          <w:b/>
        </w:rPr>
        <w:t>4.6.1</w:t>
      </w:r>
      <w:r>
        <w:rPr>
          <w:b/>
        </w:rPr>
        <w:t xml:space="preserve"> </w:t>
      </w:r>
      <w:r>
        <w:rPr>
          <w:rFonts w:hint="eastAsia"/>
          <w:b/>
        </w:rPr>
        <w:t xml:space="preserve"> </w:t>
      </w:r>
      <w:r>
        <w:rPr>
          <w:rFonts w:hint="eastAsia"/>
        </w:rPr>
        <w:t>一体化设备壳体可采用碳钢、不锈钢、耐候钢等材料，应分别符合GB/T 700-2006、GB/T 3280-2007、GB/T 4171-2008的相关规定。壳体材料采用碳钢时，其厚度不应小于6 mm；当壳体采用耐候钢制造时，其厚度不应小于3 mm。</w:t>
      </w:r>
    </w:p>
    <w:p>
      <w:pPr>
        <w:ind w:firstLine="482"/>
      </w:pPr>
      <w:r>
        <w:rPr>
          <w:rFonts w:hint="eastAsia"/>
          <w:b/>
        </w:rPr>
        <w:t xml:space="preserve">4.6.2 </w:t>
      </w:r>
      <w:r>
        <w:t xml:space="preserve"> </w:t>
      </w:r>
      <w:r>
        <w:rPr>
          <w:rFonts w:hint="eastAsia"/>
        </w:rPr>
        <w:t>管道材质可选用聚氯乙烯管、焊接钢管等。选用聚氯乙烯管应符合GB/T 4219.1-2008的规定，选用焊接钢管应符合GB/T 12771-2008、GB/T 3091-2015的规定。</w:t>
      </w:r>
    </w:p>
    <w:p>
      <w:pPr>
        <w:ind w:firstLine="482"/>
      </w:pPr>
      <w:r>
        <w:rPr>
          <w:rFonts w:hint="eastAsia"/>
          <w:b/>
        </w:rPr>
        <w:t xml:space="preserve">4.6.3 </w:t>
      </w:r>
      <w:r>
        <w:rPr>
          <w:b/>
        </w:rPr>
        <w:t xml:space="preserve"> </w:t>
      </w:r>
      <w:r>
        <w:rPr>
          <w:rFonts w:hint="eastAsia"/>
        </w:rPr>
        <w:t>多效澄清池内设置斜管（板）沉淀装置应符合CJ/T 83的规定。</w:t>
      </w:r>
    </w:p>
    <w:p>
      <w:pPr>
        <w:ind w:firstLine="482"/>
      </w:pPr>
      <w:r>
        <w:rPr>
          <w:rFonts w:hint="eastAsia"/>
          <w:b/>
        </w:rPr>
        <w:t xml:space="preserve">4.6.4 </w:t>
      </w:r>
      <w:r>
        <w:rPr>
          <w:b/>
        </w:rPr>
        <w:t xml:space="preserve"> </w:t>
      </w:r>
      <w:r>
        <w:rPr>
          <w:rFonts w:hint="eastAsia"/>
        </w:rPr>
        <w:t>电线、电缆选择应符合GB/T 5226.1-2008中第13章的规定。</w:t>
      </w:r>
    </w:p>
    <w:p>
      <w:pPr>
        <w:pStyle w:val="4"/>
        <w:spacing w:before="468" w:after="468"/>
      </w:pPr>
      <w:bookmarkStart w:id="16" w:name="_Toc1485"/>
      <w:r>
        <w:rPr>
          <w:rFonts w:hint="eastAsia"/>
        </w:rPr>
        <w:t>外观要求</w:t>
      </w:r>
      <w:bookmarkEnd w:id="16"/>
    </w:p>
    <w:p>
      <w:pPr>
        <w:ind w:firstLine="482"/>
      </w:pPr>
      <w:r>
        <w:rPr>
          <w:rFonts w:hint="eastAsia"/>
          <w:b/>
        </w:rPr>
        <w:t xml:space="preserve">4.7.1 </w:t>
      </w:r>
      <w:r>
        <w:rPr>
          <w:b/>
        </w:rPr>
        <w:t xml:space="preserve"> </w:t>
      </w:r>
      <w:r>
        <w:rPr>
          <w:rFonts w:hint="eastAsia"/>
        </w:rPr>
        <w:t>主体结构外表面应光滑平整、无锈蚀、凹痕、划伤、裂缝和变形等缺陷，色泽均匀、美观。</w:t>
      </w:r>
    </w:p>
    <w:p>
      <w:pPr>
        <w:ind w:firstLine="482"/>
      </w:pPr>
      <w:r>
        <w:rPr>
          <w:rFonts w:hint="eastAsia"/>
          <w:b/>
        </w:rPr>
        <w:t xml:space="preserve">4.7.2 </w:t>
      </w:r>
      <w:r>
        <w:rPr>
          <w:b/>
        </w:rPr>
        <w:t xml:space="preserve"> </w:t>
      </w:r>
      <w:r>
        <w:rPr>
          <w:rFonts w:hint="eastAsia"/>
        </w:rPr>
        <w:t>产品结构应简单、牢靠，满足使用要求，安装调节方便。</w:t>
      </w:r>
    </w:p>
    <w:p>
      <w:pPr>
        <w:ind w:firstLine="482"/>
      </w:pPr>
      <w:r>
        <w:rPr>
          <w:rFonts w:hint="eastAsia"/>
          <w:b/>
        </w:rPr>
        <w:t>4.7.3</w:t>
      </w:r>
      <w:r>
        <w:rPr>
          <w:b/>
        </w:rPr>
        <w:t xml:space="preserve"> </w:t>
      </w:r>
      <w:r>
        <w:rPr>
          <w:rFonts w:hint="eastAsia"/>
          <w:b/>
        </w:rPr>
        <w:t xml:space="preserve"> </w:t>
      </w:r>
      <w:r>
        <w:rPr>
          <w:rFonts w:hint="eastAsia"/>
        </w:rPr>
        <w:t>主体内表面、隔板等应光滑平整，无纤维、碳钢加强筋等裸露，无明显缺陷。</w:t>
      </w:r>
    </w:p>
    <w:p>
      <w:pPr>
        <w:ind w:firstLine="482"/>
      </w:pPr>
      <w:r>
        <w:rPr>
          <w:rFonts w:hint="eastAsia"/>
          <w:b/>
        </w:rPr>
        <w:t xml:space="preserve">4.7.4 </w:t>
      </w:r>
      <w:r>
        <w:rPr>
          <w:b/>
        </w:rPr>
        <w:t xml:space="preserve"> </w:t>
      </w:r>
      <w:r>
        <w:rPr>
          <w:rFonts w:hint="eastAsia"/>
        </w:rPr>
        <w:t>铭牌上所有文字和符号清晰、正确、牢固。</w:t>
      </w:r>
    </w:p>
    <w:p>
      <w:pPr>
        <w:pStyle w:val="4"/>
        <w:spacing w:before="468" w:after="468"/>
      </w:pPr>
      <w:bookmarkStart w:id="17" w:name="_Toc32581"/>
      <w:r>
        <w:rPr>
          <w:rFonts w:hint="eastAsia"/>
        </w:rPr>
        <w:t>制造要求</w:t>
      </w:r>
      <w:bookmarkEnd w:id="17"/>
    </w:p>
    <w:p>
      <w:pPr>
        <w:ind w:firstLine="482"/>
      </w:pPr>
      <w:r>
        <w:rPr>
          <w:rFonts w:hint="eastAsia"/>
          <w:b/>
        </w:rPr>
        <w:t>4.8.1</w:t>
      </w:r>
      <w:r>
        <w:rPr>
          <w:b/>
        </w:rPr>
        <w:t xml:space="preserve"> </w:t>
      </w:r>
      <w:r>
        <w:rPr>
          <w:rFonts w:hint="eastAsia"/>
          <w:b/>
        </w:rPr>
        <w:t xml:space="preserve"> </w:t>
      </w:r>
      <w:r>
        <w:rPr>
          <w:rFonts w:hint="eastAsia"/>
        </w:rPr>
        <w:t>一体化设备应按照规定程序批准的图纸及文件制造，并符合本标准的规定。</w:t>
      </w:r>
    </w:p>
    <w:p>
      <w:pPr>
        <w:ind w:firstLine="482"/>
      </w:pPr>
      <w:r>
        <w:rPr>
          <w:rFonts w:hint="eastAsia"/>
          <w:b/>
        </w:rPr>
        <w:t xml:space="preserve">4.8.2 </w:t>
      </w:r>
      <w:r>
        <w:rPr>
          <w:b/>
        </w:rPr>
        <w:t xml:space="preserve"> </w:t>
      </w:r>
      <w:r>
        <w:rPr>
          <w:rFonts w:hint="eastAsia"/>
        </w:rPr>
        <w:t>一体化设备的机械加工表面的未注尺寸公差按GB/T 1804-2000执行。</w:t>
      </w:r>
    </w:p>
    <w:p>
      <w:pPr>
        <w:pStyle w:val="4"/>
        <w:spacing w:before="468" w:after="468"/>
      </w:pPr>
      <w:bookmarkStart w:id="18" w:name="_Toc29286"/>
      <w:r>
        <w:rPr>
          <w:rFonts w:hint="eastAsia"/>
        </w:rPr>
        <w:t>焊接要求</w:t>
      </w:r>
      <w:bookmarkEnd w:id="18"/>
    </w:p>
    <w:p>
      <w:pPr>
        <w:ind w:firstLine="482"/>
      </w:pPr>
      <w:r>
        <w:rPr>
          <w:rFonts w:hint="eastAsia"/>
          <w:b/>
        </w:rPr>
        <w:t>4.9.1</w:t>
      </w:r>
      <w:r>
        <w:rPr>
          <w:b/>
        </w:rPr>
        <w:t xml:space="preserve"> </w:t>
      </w:r>
      <w:r>
        <w:rPr>
          <w:rFonts w:hint="eastAsia"/>
          <w:b/>
        </w:rPr>
        <w:t xml:space="preserve"> </w:t>
      </w:r>
      <w:r>
        <w:rPr>
          <w:rFonts w:hint="eastAsia"/>
        </w:rPr>
        <w:t>一体化设备壳体可以采用焊接和拼装的方式制造。</w:t>
      </w:r>
    </w:p>
    <w:p>
      <w:pPr>
        <w:ind w:firstLine="482"/>
      </w:pPr>
      <w:r>
        <w:rPr>
          <w:rFonts w:hint="eastAsia"/>
          <w:b/>
        </w:rPr>
        <w:t xml:space="preserve">4.9.2 </w:t>
      </w:r>
      <w:r>
        <w:rPr>
          <w:b/>
        </w:rPr>
        <w:t xml:space="preserve"> </w:t>
      </w:r>
      <w:r>
        <w:rPr>
          <w:rFonts w:hint="eastAsia"/>
        </w:rPr>
        <w:t>一体化设备壳体焊接前必须将距焊缝边缘一定范围内（手工焊不应小于10 mm，埋弧焊不应小于20mm）焊接结构表面上的铁锈、油、油漆、尘土等污物清除干净，并必须去除潮湿。</w:t>
      </w:r>
    </w:p>
    <w:p>
      <w:pPr>
        <w:ind w:firstLine="482"/>
      </w:pPr>
      <w:r>
        <w:rPr>
          <w:rFonts w:hint="eastAsia"/>
          <w:b/>
        </w:rPr>
        <w:t>4.9.3</w:t>
      </w:r>
      <w:r>
        <w:rPr>
          <w:b/>
        </w:rPr>
        <w:t xml:space="preserve"> </w:t>
      </w:r>
      <w:r>
        <w:rPr>
          <w:rFonts w:hint="eastAsia"/>
          <w:b/>
        </w:rPr>
        <w:t xml:space="preserve"> </w:t>
      </w:r>
      <w:r>
        <w:rPr>
          <w:rFonts w:hint="eastAsia"/>
        </w:rPr>
        <w:t>焊接件的焊缝应平整光滑，不应有气孔、夹渣、错边、满溢、焊瘤、弧坑、间断、咬边、烧穿、凹陷、脱焊、漏焊、虚焊等缺陷。</w:t>
      </w:r>
    </w:p>
    <w:p>
      <w:pPr>
        <w:ind w:firstLine="482"/>
      </w:pPr>
      <w:r>
        <w:rPr>
          <w:rFonts w:hint="eastAsia"/>
          <w:b/>
        </w:rPr>
        <w:t>4.9.4</w:t>
      </w:r>
      <w:r>
        <w:rPr>
          <w:b/>
        </w:rPr>
        <w:t xml:space="preserve"> </w:t>
      </w:r>
      <w:r>
        <w:rPr>
          <w:rFonts w:hint="eastAsia"/>
          <w:b/>
        </w:rPr>
        <w:t xml:space="preserve"> </w:t>
      </w:r>
      <w:r>
        <w:rPr>
          <w:rFonts w:hint="eastAsia"/>
        </w:rPr>
        <w:t>焊接质量应满足GB/T 12469-1990的相关要求，焊缝坡口应符合GB/T 985.1-2008和GB/T 1804-2000的规定。</w:t>
      </w:r>
    </w:p>
    <w:p>
      <w:pPr>
        <w:ind w:firstLine="482"/>
      </w:pPr>
      <w:r>
        <w:rPr>
          <w:rFonts w:hint="eastAsia"/>
          <w:b/>
        </w:rPr>
        <w:t>4.9.5</w:t>
      </w:r>
      <w:r>
        <w:rPr>
          <w:b/>
        </w:rPr>
        <w:t xml:space="preserve"> </w:t>
      </w:r>
      <w:r>
        <w:rPr>
          <w:rFonts w:hint="eastAsia"/>
          <w:b/>
        </w:rPr>
        <w:t xml:space="preserve"> </w:t>
      </w:r>
      <w:r>
        <w:rPr>
          <w:rFonts w:hint="eastAsia"/>
        </w:rPr>
        <w:t>焊接件管件尺寸的尺寸公差或形位公差应按JB/T 5943规定。</w:t>
      </w:r>
    </w:p>
    <w:p>
      <w:pPr>
        <w:ind w:firstLine="482"/>
      </w:pPr>
      <w:r>
        <w:rPr>
          <w:rFonts w:hint="eastAsia"/>
          <w:b/>
        </w:rPr>
        <w:t xml:space="preserve">4.9.6 </w:t>
      </w:r>
      <w:r>
        <w:t xml:space="preserve"> </w:t>
      </w:r>
      <w:r>
        <w:rPr>
          <w:rFonts w:hint="eastAsia"/>
        </w:rPr>
        <w:t>焊缝应进行煤油渗漏试验，不得渗漏。</w:t>
      </w:r>
    </w:p>
    <w:p>
      <w:pPr>
        <w:pStyle w:val="4"/>
        <w:spacing w:before="468" w:after="468"/>
      </w:pPr>
      <w:bookmarkStart w:id="19" w:name="_Toc6104"/>
      <w:r>
        <w:rPr>
          <w:rFonts w:hint="eastAsia"/>
        </w:rPr>
        <w:t>涂覆要求</w:t>
      </w:r>
      <w:bookmarkEnd w:id="19"/>
    </w:p>
    <w:p>
      <w:pPr>
        <w:ind w:firstLine="482"/>
      </w:pPr>
      <w:r>
        <w:rPr>
          <w:rFonts w:hint="eastAsia"/>
          <w:b/>
        </w:rPr>
        <w:t xml:space="preserve">4.10.1 </w:t>
      </w:r>
      <w:r>
        <w:t xml:space="preserve"> </w:t>
      </w:r>
      <w:r>
        <w:rPr>
          <w:rFonts w:hint="eastAsia"/>
        </w:rPr>
        <w:t>壳体在进行防腐涂装前，应该进行喷砂表面处理，表面处理要求应符合GB/T 8923-2011的规定喷射清理等级Sa2 1/2级。</w:t>
      </w:r>
    </w:p>
    <w:p>
      <w:pPr>
        <w:ind w:firstLine="482"/>
      </w:pPr>
      <w:r>
        <w:rPr>
          <w:rFonts w:hint="eastAsia"/>
          <w:b/>
        </w:rPr>
        <w:t xml:space="preserve">4.10.2 </w:t>
      </w:r>
      <w:r>
        <w:rPr>
          <w:b/>
        </w:rPr>
        <w:t xml:space="preserve"> </w:t>
      </w:r>
      <w:r>
        <w:rPr>
          <w:rFonts w:hint="eastAsia"/>
        </w:rPr>
        <w:t>装置各部件的防腐层漆膜涂层的涂装处理方式应符合GB/T 30790.7-2014的相关要求，漆膜外观应无裂痕纹、流挂、鼓泡等缺陷。漆膜附着力应该满足GB/T 9286-1998的相关要求，采用漆膜划格试验，受影响的交叉切割面积脱落比应不大于35 %。防腐层应保证一年内不出现锈斑，设备的使用寿命三年以上。</w:t>
      </w:r>
    </w:p>
    <w:p>
      <w:pPr>
        <w:ind w:firstLine="482"/>
      </w:pPr>
      <w:r>
        <w:rPr>
          <w:rFonts w:hint="eastAsia"/>
          <w:b/>
        </w:rPr>
        <w:t xml:space="preserve">4.10.3 </w:t>
      </w:r>
      <w:r>
        <w:rPr>
          <w:b/>
        </w:rPr>
        <w:t xml:space="preserve"> </w:t>
      </w:r>
      <w:r>
        <w:rPr>
          <w:rFonts w:hint="eastAsia"/>
        </w:rPr>
        <w:t>表面防腐处理时，涂覆厚度：</w:t>
      </w:r>
    </w:p>
    <w:p>
      <w:pPr>
        <w:ind w:firstLine="480"/>
      </w:pPr>
      <w:r>
        <w:rPr>
          <w:rFonts w:hint="eastAsia"/>
        </w:rPr>
        <w:t>a） 直接与水接触部位，厚度为240 μm-280 μm；</w:t>
      </w:r>
    </w:p>
    <w:p>
      <w:pPr>
        <w:ind w:firstLine="480"/>
      </w:pPr>
      <w:r>
        <w:rPr>
          <w:rFonts w:hint="eastAsia"/>
        </w:rPr>
        <w:t>b） 非与水直接接触部位，厚度为160 μm-200 μm。</w:t>
      </w:r>
    </w:p>
    <w:p>
      <w:pPr>
        <w:ind w:firstLine="482"/>
      </w:pPr>
      <w:r>
        <w:rPr>
          <w:rFonts w:hint="eastAsia"/>
          <w:b/>
        </w:rPr>
        <w:t xml:space="preserve">4.10.4 </w:t>
      </w:r>
      <w:r>
        <w:t xml:space="preserve"> </w:t>
      </w:r>
      <w:r>
        <w:rPr>
          <w:rFonts w:hint="eastAsia"/>
        </w:rPr>
        <w:t>不锈钢件应经酸洗钝化处理，酸洗和钝化质量应符合SJ 20893的规定。</w:t>
      </w:r>
    </w:p>
    <w:p>
      <w:pPr>
        <w:ind w:firstLine="482"/>
      </w:pPr>
      <w:r>
        <w:rPr>
          <w:rFonts w:hint="eastAsia"/>
          <w:b/>
        </w:rPr>
        <w:t xml:space="preserve">4.10.5 </w:t>
      </w:r>
      <w:r>
        <w:t xml:space="preserve"> </w:t>
      </w:r>
      <w:r>
        <w:rPr>
          <w:rFonts w:hint="eastAsia"/>
        </w:rPr>
        <w:t>内壁防腐涂覆宜采用环氧类液体涂料或聚乙烯胶黏带，涂层应均匀。</w:t>
      </w:r>
    </w:p>
    <w:p>
      <w:pPr>
        <w:pStyle w:val="4"/>
        <w:spacing w:before="468" w:after="468"/>
      </w:pPr>
      <w:bookmarkStart w:id="20" w:name="_Toc4785"/>
      <w:r>
        <w:rPr>
          <w:rFonts w:hint="eastAsia"/>
        </w:rPr>
        <w:t>电气和控制要求</w:t>
      </w:r>
      <w:bookmarkEnd w:id="20"/>
    </w:p>
    <w:p>
      <w:pPr>
        <w:ind w:firstLine="482"/>
      </w:pPr>
      <w:r>
        <w:rPr>
          <w:rFonts w:hint="eastAsia"/>
          <w:b/>
        </w:rPr>
        <w:t xml:space="preserve">4.11.1 </w:t>
      </w:r>
      <w:r>
        <w:rPr>
          <w:b/>
        </w:rPr>
        <w:t xml:space="preserve"> </w:t>
      </w:r>
      <w:r>
        <w:rPr>
          <w:rFonts w:hint="eastAsia"/>
        </w:rPr>
        <w:t>电气控制设备应符合GB 5226.1-2008中第13章的规定。</w:t>
      </w:r>
    </w:p>
    <w:p>
      <w:pPr>
        <w:ind w:firstLine="482"/>
      </w:pPr>
      <w:r>
        <w:rPr>
          <w:rFonts w:hint="eastAsia"/>
          <w:b/>
        </w:rPr>
        <w:t xml:space="preserve">4.11.2 </w:t>
      </w:r>
      <w:r>
        <w:rPr>
          <w:b/>
        </w:rPr>
        <w:t xml:space="preserve"> </w:t>
      </w:r>
      <w:r>
        <w:rPr>
          <w:rFonts w:hint="eastAsia"/>
        </w:rPr>
        <w:t>安全接地保护应符合GB/T 3797-2005中4.10.6的规定。</w:t>
      </w:r>
    </w:p>
    <w:p>
      <w:pPr>
        <w:ind w:firstLine="482"/>
      </w:pPr>
      <w:r>
        <w:rPr>
          <w:rFonts w:hint="eastAsia"/>
          <w:b/>
        </w:rPr>
        <w:t xml:space="preserve">4.11.3 </w:t>
      </w:r>
      <w:r>
        <w:t xml:space="preserve"> </w:t>
      </w:r>
      <w:r>
        <w:rPr>
          <w:rFonts w:hint="eastAsia"/>
        </w:rPr>
        <w:t>短路保护应符合GB/T 3797-2005中4.10.2的规定，过载保护应符合GB/T 3797-2005中4.10.3的规定。</w:t>
      </w:r>
    </w:p>
    <w:p>
      <w:pPr>
        <w:ind w:firstLine="482"/>
      </w:pPr>
      <w:r>
        <w:rPr>
          <w:rFonts w:hint="eastAsia"/>
          <w:b/>
        </w:rPr>
        <w:t xml:space="preserve">4.11.4 </w:t>
      </w:r>
      <w:r>
        <w:rPr>
          <w:b/>
        </w:rPr>
        <w:t xml:space="preserve"> </w:t>
      </w:r>
      <w:r>
        <w:rPr>
          <w:rFonts w:hint="eastAsia"/>
        </w:rPr>
        <w:t>电气控制设备带电回路之间及裸露导电部件之间的绝缘电阻值应符合GB/T 3797-2005中4.8.1的规定。</w:t>
      </w:r>
    </w:p>
    <w:p>
      <w:pPr>
        <w:ind w:firstLine="482"/>
      </w:pPr>
      <w:r>
        <w:rPr>
          <w:rFonts w:hint="eastAsia"/>
          <w:b/>
        </w:rPr>
        <w:t>4.11.5</w:t>
      </w:r>
      <w:r>
        <w:rPr>
          <w:b/>
        </w:rPr>
        <w:t xml:space="preserve"> </w:t>
      </w:r>
      <w:r>
        <w:rPr>
          <w:rFonts w:hint="eastAsia"/>
        </w:rPr>
        <w:t xml:space="preserve"> 选用的电动机在额定输出功率下实测能效及能效等级应符合GB 18513的规定。</w:t>
      </w:r>
    </w:p>
    <w:p>
      <w:pPr>
        <w:ind w:firstLine="482"/>
      </w:pPr>
      <w:r>
        <w:rPr>
          <w:rFonts w:hint="eastAsia"/>
          <w:b/>
        </w:rPr>
        <w:t xml:space="preserve">4.11.6 </w:t>
      </w:r>
      <w:r>
        <w:rPr>
          <w:b/>
        </w:rPr>
        <w:t xml:space="preserve"> </w:t>
      </w:r>
      <w:r>
        <w:rPr>
          <w:rFonts w:hint="eastAsia"/>
        </w:rPr>
        <w:t>成套电控柜安装在室外时，外壳防护等级不应低于GB/T 4208的规定IP55级要求。</w:t>
      </w:r>
    </w:p>
    <w:p>
      <w:pPr>
        <w:ind w:firstLine="482"/>
      </w:pPr>
      <w:r>
        <w:rPr>
          <w:rFonts w:hint="eastAsia"/>
          <w:b/>
        </w:rPr>
        <w:t>4.11.7</w:t>
      </w:r>
      <w:r>
        <w:rPr>
          <w:b/>
        </w:rPr>
        <w:t xml:space="preserve"> </w:t>
      </w:r>
      <w:r>
        <w:rPr>
          <w:rFonts w:hint="eastAsia"/>
          <w:b/>
        </w:rPr>
        <w:t xml:space="preserve"> </w:t>
      </w:r>
      <w:r>
        <w:rPr>
          <w:rFonts w:hint="eastAsia"/>
        </w:rPr>
        <w:t>电气设备的设计与安全应符合GB/T 7251.1和GB 19671的规定。</w:t>
      </w:r>
    </w:p>
    <w:p>
      <w:pPr>
        <w:ind w:firstLine="482"/>
      </w:pPr>
      <w:r>
        <w:rPr>
          <w:rFonts w:hint="eastAsia"/>
          <w:b/>
        </w:rPr>
        <w:t xml:space="preserve">4.11.8 </w:t>
      </w:r>
      <w:r>
        <w:rPr>
          <w:b/>
        </w:rPr>
        <w:t xml:space="preserve"> </w:t>
      </w:r>
      <w:r>
        <w:rPr>
          <w:rFonts w:hint="eastAsia"/>
        </w:rPr>
        <w:t>控制设备应留有与远程的通信接口。</w:t>
      </w:r>
    </w:p>
    <w:p>
      <w:pPr>
        <w:ind w:firstLine="482"/>
      </w:pPr>
      <w:r>
        <w:rPr>
          <w:rFonts w:hint="eastAsia"/>
          <w:b/>
        </w:rPr>
        <w:t xml:space="preserve">4.11.9 </w:t>
      </w:r>
      <w:r>
        <w:rPr>
          <w:b/>
        </w:rPr>
        <w:t xml:space="preserve"> </w:t>
      </w:r>
      <w:r>
        <w:rPr>
          <w:rFonts w:hint="eastAsia"/>
        </w:rPr>
        <w:t>电气设备应设有过载、过压、欠压、短路、缺相等保护及报警装置。</w:t>
      </w:r>
    </w:p>
    <w:p>
      <w:pPr>
        <w:pStyle w:val="4"/>
        <w:spacing w:before="468" w:after="468"/>
      </w:pPr>
      <w:bookmarkStart w:id="21" w:name="_Toc27022"/>
      <w:r>
        <w:rPr>
          <w:rFonts w:hint="eastAsia"/>
        </w:rPr>
        <w:t>结构要求</w:t>
      </w:r>
      <w:bookmarkEnd w:id="21"/>
    </w:p>
    <w:p>
      <w:pPr>
        <w:ind w:firstLine="482"/>
      </w:pPr>
      <w:r>
        <w:rPr>
          <w:rFonts w:hint="eastAsia"/>
          <w:b/>
        </w:rPr>
        <w:t xml:space="preserve">4.12.1 </w:t>
      </w:r>
      <w:r>
        <w:rPr>
          <w:b/>
        </w:rPr>
        <w:t xml:space="preserve"> </w:t>
      </w:r>
      <w:r>
        <w:rPr>
          <w:rFonts w:hint="eastAsia"/>
        </w:rPr>
        <w:t>为了方便搬运、安装，设备应注明中心及吊装位置，并设吊装环（钩）；吊装环（钩）的数量及强度应满足设备整体吊装要求。</w:t>
      </w:r>
    </w:p>
    <w:p>
      <w:pPr>
        <w:ind w:firstLine="482"/>
      </w:pPr>
      <w:r>
        <w:rPr>
          <w:rFonts w:hint="eastAsia"/>
          <w:b/>
        </w:rPr>
        <w:t xml:space="preserve">4.12.2 </w:t>
      </w:r>
      <w:r>
        <w:rPr>
          <w:b/>
        </w:rPr>
        <w:t xml:space="preserve"> </w:t>
      </w:r>
      <w:r>
        <w:rPr>
          <w:rFonts w:hint="eastAsia"/>
        </w:rPr>
        <w:t>一体化设备应方便检修，且检修位置的设置应保证设备及人员的安全。</w:t>
      </w:r>
    </w:p>
    <w:p>
      <w:pPr>
        <w:pStyle w:val="4"/>
        <w:spacing w:before="468" w:after="468"/>
      </w:pPr>
      <w:bookmarkStart w:id="22" w:name="_Toc13295"/>
      <w:r>
        <w:rPr>
          <w:rFonts w:hint="eastAsia"/>
        </w:rPr>
        <w:t>强度及密封性要求</w:t>
      </w:r>
      <w:bookmarkEnd w:id="22"/>
    </w:p>
    <w:p>
      <w:pPr>
        <w:ind w:firstLine="482"/>
      </w:pPr>
      <w:r>
        <w:rPr>
          <w:rFonts w:hint="eastAsia"/>
          <w:b/>
        </w:rPr>
        <w:t>4.13.1</w:t>
      </w:r>
      <w:r>
        <w:rPr>
          <w:b/>
        </w:rPr>
        <w:t xml:space="preserve"> </w:t>
      </w:r>
      <w:r>
        <w:rPr>
          <w:rFonts w:hint="eastAsia"/>
          <w:b/>
        </w:rPr>
        <w:t xml:space="preserve"> </w:t>
      </w:r>
      <w:r>
        <w:rPr>
          <w:rFonts w:hint="eastAsia"/>
        </w:rPr>
        <w:t>一体化设备主体需进行静压检漏检验，不应出现变形和渗漏。</w:t>
      </w:r>
    </w:p>
    <w:p>
      <w:pPr>
        <w:ind w:firstLine="482"/>
      </w:pPr>
      <w:r>
        <w:rPr>
          <w:rFonts w:hint="eastAsia"/>
          <w:b/>
        </w:rPr>
        <w:t>4.13.2</w:t>
      </w:r>
      <w:r>
        <w:rPr>
          <w:b/>
        </w:rPr>
        <w:t xml:space="preserve"> </w:t>
      </w:r>
      <w:r>
        <w:rPr>
          <w:rFonts w:hint="eastAsia"/>
          <w:b/>
        </w:rPr>
        <w:t xml:space="preserve"> </w:t>
      </w:r>
      <w:r>
        <w:rPr>
          <w:rFonts w:hint="eastAsia"/>
        </w:rPr>
        <w:t>水管路系统应做水压试验，不得出现渗漏和异常变形现象。</w:t>
      </w:r>
    </w:p>
    <w:p>
      <w:pPr>
        <w:ind w:firstLine="482"/>
      </w:pPr>
      <w:r>
        <w:rPr>
          <w:rFonts w:hint="eastAsia"/>
          <w:b/>
        </w:rPr>
        <w:t>4.13.3</w:t>
      </w:r>
      <w:r>
        <w:rPr>
          <w:b/>
        </w:rPr>
        <w:t xml:space="preserve"> </w:t>
      </w:r>
      <w:r>
        <w:rPr>
          <w:rFonts w:hint="eastAsia"/>
          <w:b/>
        </w:rPr>
        <w:t xml:space="preserve"> </w:t>
      </w:r>
      <w:r>
        <w:rPr>
          <w:rFonts w:hint="eastAsia"/>
        </w:rPr>
        <w:t>气体管路系统应做气压试验，不得出现泄漏现象。</w:t>
      </w:r>
    </w:p>
    <w:p>
      <w:pPr>
        <w:ind w:firstLine="482"/>
      </w:pPr>
      <w:r>
        <w:rPr>
          <w:rFonts w:hint="eastAsia"/>
          <w:b/>
        </w:rPr>
        <w:t xml:space="preserve">4.13.4 </w:t>
      </w:r>
      <w:r>
        <w:t xml:space="preserve"> </w:t>
      </w:r>
      <w:r>
        <w:rPr>
          <w:rFonts w:hint="eastAsia"/>
        </w:rPr>
        <w:t>主体结构采用金属材料时，使用年限不应小于10年。</w:t>
      </w:r>
    </w:p>
    <w:p>
      <w:pPr>
        <w:pStyle w:val="4"/>
        <w:spacing w:before="468" w:after="468"/>
      </w:pPr>
      <w:bookmarkStart w:id="23" w:name="_Toc14415"/>
      <w:r>
        <w:rPr>
          <w:rFonts w:hint="eastAsia"/>
        </w:rPr>
        <w:t>整机装配要求</w:t>
      </w:r>
      <w:bookmarkEnd w:id="23"/>
    </w:p>
    <w:p>
      <w:pPr>
        <w:ind w:firstLine="482"/>
      </w:pPr>
      <w:r>
        <w:rPr>
          <w:rFonts w:hint="eastAsia"/>
          <w:b/>
        </w:rPr>
        <w:t xml:space="preserve">4.14.1 </w:t>
      </w:r>
      <w:r>
        <w:t xml:space="preserve"> </w:t>
      </w:r>
      <w:r>
        <w:rPr>
          <w:rFonts w:hint="eastAsia"/>
        </w:rPr>
        <w:t>一体化设备内各附属物需按图纸要求位置准确安装。</w:t>
      </w:r>
    </w:p>
    <w:p>
      <w:pPr>
        <w:ind w:firstLine="482"/>
      </w:pPr>
      <w:r>
        <w:rPr>
          <w:rFonts w:hint="eastAsia"/>
          <w:b/>
        </w:rPr>
        <w:t xml:space="preserve">4.14.2 </w:t>
      </w:r>
      <w:r>
        <w:rPr>
          <w:b/>
        </w:rPr>
        <w:t xml:space="preserve"> </w:t>
      </w:r>
      <w:r>
        <w:rPr>
          <w:rFonts w:hint="eastAsia"/>
        </w:rPr>
        <w:t>各电机的电流不得超过额定值。</w:t>
      </w:r>
    </w:p>
    <w:p>
      <w:pPr>
        <w:ind w:firstLine="482"/>
      </w:pPr>
      <w:r>
        <w:rPr>
          <w:rFonts w:hint="eastAsia"/>
          <w:b/>
        </w:rPr>
        <w:t xml:space="preserve">4.14.3 </w:t>
      </w:r>
      <w:r>
        <w:rPr>
          <w:b/>
        </w:rPr>
        <w:t xml:space="preserve"> </w:t>
      </w:r>
      <w:r>
        <w:rPr>
          <w:rFonts w:hint="eastAsia"/>
        </w:rPr>
        <w:t>运转平稳，无异常振动和噪声。</w:t>
      </w:r>
    </w:p>
    <w:p>
      <w:pPr>
        <w:ind w:firstLine="482"/>
      </w:pPr>
      <w:r>
        <w:rPr>
          <w:rFonts w:hint="eastAsia"/>
          <w:b/>
        </w:rPr>
        <w:t xml:space="preserve">4.14.4 </w:t>
      </w:r>
      <w:r>
        <w:rPr>
          <w:b/>
        </w:rPr>
        <w:t xml:space="preserve"> </w:t>
      </w:r>
      <w:r>
        <w:rPr>
          <w:rFonts w:hint="eastAsia"/>
        </w:rPr>
        <w:t>箱体焊接及各管道连接处应无渗漏。</w:t>
      </w:r>
    </w:p>
    <w:p>
      <w:pPr>
        <w:pStyle w:val="4"/>
        <w:spacing w:before="468" w:after="468"/>
      </w:pPr>
      <w:bookmarkStart w:id="24" w:name="_Toc20308"/>
      <w:r>
        <w:rPr>
          <w:rFonts w:hint="eastAsia"/>
        </w:rPr>
        <w:t>安装吊装要求</w:t>
      </w:r>
      <w:bookmarkEnd w:id="24"/>
    </w:p>
    <w:p>
      <w:pPr>
        <w:ind w:firstLine="482"/>
      </w:pPr>
      <w:r>
        <w:rPr>
          <w:rFonts w:hint="eastAsia"/>
          <w:b/>
        </w:rPr>
        <w:t>4.15.1</w:t>
      </w:r>
      <w:r>
        <w:rPr>
          <w:b/>
        </w:rPr>
        <w:t xml:space="preserve"> </w:t>
      </w:r>
      <w:r>
        <w:rPr>
          <w:rFonts w:hint="eastAsia"/>
          <w:b/>
        </w:rPr>
        <w:t xml:space="preserve"> </w:t>
      </w:r>
      <w:r>
        <w:rPr>
          <w:rFonts w:hint="eastAsia"/>
        </w:rPr>
        <w:t>一体化设备外壁距离建筑物外墙不宜小于2 m，并不得影响建筑物基础；距离生活饮用水的管线或供水设施的距离不得小于10 m。</w:t>
      </w:r>
    </w:p>
    <w:p>
      <w:pPr>
        <w:ind w:firstLine="482"/>
      </w:pPr>
      <w:r>
        <w:rPr>
          <w:rFonts w:hint="eastAsia"/>
          <w:b/>
        </w:rPr>
        <w:t xml:space="preserve">4.15.2 </w:t>
      </w:r>
      <w:r>
        <w:t xml:space="preserve"> </w:t>
      </w:r>
      <w:r>
        <w:rPr>
          <w:rFonts w:hint="eastAsia"/>
        </w:rPr>
        <w:t>吊装设备主体时，要先试吊，试吊高度应为100 mm，静置5 min左右，无问题后方可起吊。起吊要求稳起稳放。</w:t>
      </w:r>
    </w:p>
    <w:p>
      <w:pPr>
        <w:ind w:firstLine="482"/>
      </w:pPr>
      <w:r>
        <w:rPr>
          <w:rFonts w:hint="eastAsia"/>
          <w:b/>
        </w:rPr>
        <w:t xml:space="preserve">4.15.3 </w:t>
      </w:r>
      <w:r>
        <w:rPr>
          <w:b/>
        </w:rPr>
        <w:t xml:space="preserve"> </w:t>
      </w:r>
      <w:r>
        <w:rPr>
          <w:rFonts w:hint="eastAsia"/>
        </w:rPr>
        <w:t>吊装所用绳、索具最小安全系数应大于5（即负载能力为被起吊件质量的5倍以上），严禁超载起吊，每次只能起吊一件。</w:t>
      </w:r>
    </w:p>
    <w:p>
      <w:pPr>
        <w:ind w:firstLine="482"/>
      </w:pPr>
      <w:r>
        <w:rPr>
          <w:rFonts w:hint="eastAsia"/>
          <w:b/>
        </w:rPr>
        <w:t xml:space="preserve">4.15.4 </w:t>
      </w:r>
      <w:r>
        <w:rPr>
          <w:b/>
        </w:rPr>
        <w:t xml:space="preserve"> </w:t>
      </w:r>
      <w:r>
        <w:rPr>
          <w:rFonts w:hint="eastAsia"/>
        </w:rPr>
        <w:t>起吊臂的工作范围内或起吊件下严禁人员进出。</w:t>
      </w:r>
    </w:p>
    <w:p>
      <w:pPr>
        <w:ind w:firstLine="482"/>
      </w:pPr>
      <w:r>
        <w:rPr>
          <w:rFonts w:hint="eastAsia"/>
          <w:b/>
        </w:rPr>
        <w:t xml:space="preserve">4.15.5 </w:t>
      </w:r>
      <w:r>
        <w:rPr>
          <w:b/>
        </w:rPr>
        <w:t xml:space="preserve"> </w:t>
      </w:r>
      <w:r>
        <w:rPr>
          <w:rFonts w:hint="eastAsia"/>
        </w:rPr>
        <w:t>在吊装施工过程中，应有专人现场指挥，发现问题应立即停止作业。</w:t>
      </w:r>
    </w:p>
    <w:p>
      <w:pPr>
        <w:pStyle w:val="4"/>
        <w:spacing w:before="468" w:after="468"/>
      </w:pPr>
      <w:bookmarkStart w:id="25" w:name="_Toc29129"/>
      <w:r>
        <w:rPr>
          <w:rFonts w:hint="eastAsia"/>
        </w:rPr>
        <w:t>性能要求</w:t>
      </w:r>
      <w:bookmarkEnd w:id="25"/>
    </w:p>
    <w:p>
      <w:pPr>
        <w:ind w:firstLine="482"/>
      </w:pPr>
      <w:r>
        <w:rPr>
          <w:rFonts w:hint="eastAsia"/>
          <w:b/>
        </w:rPr>
        <w:t xml:space="preserve">4.16.1 </w:t>
      </w:r>
      <w:r>
        <w:rPr>
          <w:b/>
        </w:rPr>
        <w:t xml:space="preserve"> </w:t>
      </w:r>
      <w:r>
        <w:rPr>
          <w:rFonts w:hint="eastAsia"/>
        </w:rPr>
        <w:t>废水在一体化设备中的最低停留时间为10 min。</w:t>
      </w:r>
    </w:p>
    <w:p>
      <w:pPr>
        <w:ind w:firstLine="482"/>
      </w:pPr>
      <w:r>
        <w:rPr>
          <w:rFonts w:hint="eastAsia"/>
          <w:b/>
        </w:rPr>
        <w:t xml:space="preserve">4.16.2 </w:t>
      </w:r>
      <w:r>
        <w:rPr>
          <w:b/>
        </w:rPr>
        <w:t xml:space="preserve"> </w:t>
      </w:r>
      <w:r>
        <w:rPr>
          <w:rFonts w:hint="eastAsia"/>
        </w:rPr>
        <w:t>废水在进入一体化设备前必须经过格栅，去除漂浮物和撇渣器去除浮渣等杂物。当进入一体化设备的水质满足表3的要求时，处理的出水水质达到《废水综合排放标准》（GB8978-1996）综合排放标准一级标准。</w:t>
      </w:r>
    </w:p>
    <w:p>
      <w:pPr>
        <w:ind w:firstLine="482"/>
      </w:pPr>
      <w:r>
        <w:rPr>
          <w:rFonts w:hint="eastAsia"/>
          <w:b/>
        </w:rPr>
        <w:t xml:space="preserve">4.16.3 </w:t>
      </w:r>
      <w:r>
        <w:rPr>
          <w:b/>
        </w:rPr>
        <w:t xml:space="preserve"> </w:t>
      </w:r>
      <w:r>
        <w:rPr>
          <w:rFonts w:hint="eastAsia"/>
        </w:rPr>
        <w:t>一体化设备设有自动控制装置和手动控制装置，装置发生故障时，具有安全保障自动返回和事故报警功能。</w:t>
      </w:r>
    </w:p>
    <w:p>
      <w:pPr>
        <w:ind w:firstLine="482"/>
      </w:pPr>
      <w:r>
        <w:rPr>
          <w:rFonts w:hint="eastAsia"/>
          <w:b/>
        </w:rPr>
        <w:t>4.16.4</w:t>
      </w:r>
      <w:r>
        <w:rPr>
          <w:b/>
        </w:rPr>
        <w:t xml:space="preserve"> </w:t>
      </w:r>
      <w:r>
        <w:rPr>
          <w:rFonts w:hint="eastAsia"/>
          <w:b/>
        </w:rPr>
        <w:t xml:space="preserve"> </w:t>
      </w:r>
      <w:r>
        <w:rPr>
          <w:rFonts w:hint="eastAsia"/>
        </w:rPr>
        <w:t>在一体化设备进、出水处，应设置流量监测设施，并定期进行流量监测。</w:t>
      </w:r>
    </w:p>
    <w:p>
      <w:pPr>
        <w:pStyle w:val="4"/>
        <w:spacing w:before="468" w:after="468"/>
      </w:pPr>
      <w:bookmarkStart w:id="26" w:name="_Toc6159"/>
      <w:r>
        <w:rPr>
          <w:rFonts w:hint="eastAsia"/>
        </w:rPr>
        <w:t>安全要求</w:t>
      </w:r>
      <w:bookmarkEnd w:id="26"/>
    </w:p>
    <w:p>
      <w:pPr>
        <w:ind w:firstLine="482"/>
      </w:pPr>
      <w:r>
        <w:rPr>
          <w:rFonts w:hint="eastAsia"/>
          <w:b/>
        </w:rPr>
        <w:t xml:space="preserve">4.17.1 </w:t>
      </w:r>
      <w:r>
        <w:rPr>
          <w:b/>
        </w:rPr>
        <w:t xml:space="preserve"> </w:t>
      </w:r>
      <w:r>
        <w:rPr>
          <w:rFonts w:hint="eastAsia"/>
        </w:rPr>
        <w:t>一体化设备的安全标志应符合GB 2894要求。</w:t>
      </w:r>
    </w:p>
    <w:p>
      <w:pPr>
        <w:ind w:firstLine="482"/>
      </w:pPr>
      <w:r>
        <w:rPr>
          <w:rFonts w:hint="eastAsia"/>
          <w:b/>
        </w:rPr>
        <w:t xml:space="preserve">4.17.2 </w:t>
      </w:r>
      <w:r>
        <w:rPr>
          <w:b/>
        </w:rPr>
        <w:t xml:space="preserve"> </w:t>
      </w:r>
      <w:r>
        <w:rPr>
          <w:rFonts w:hint="eastAsia"/>
        </w:rPr>
        <w:t>一体化设备的机械安装防护装置应符合GB/T 8196要求。</w:t>
      </w:r>
    </w:p>
    <w:p>
      <w:pPr>
        <w:ind w:firstLine="482"/>
      </w:pPr>
      <w:r>
        <w:rPr>
          <w:rFonts w:hint="eastAsia"/>
          <w:b/>
        </w:rPr>
        <w:t>4.17.3</w:t>
      </w:r>
      <w:r>
        <w:rPr>
          <w:b/>
        </w:rPr>
        <w:t xml:space="preserve"> </w:t>
      </w:r>
      <w:r>
        <w:rPr>
          <w:rFonts w:hint="eastAsia"/>
          <w:b/>
        </w:rPr>
        <w:t xml:space="preserve"> </w:t>
      </w:r>
      <w:r>
        <w:rPr>
          <w:rFonts w:hint="eastAsia"/>
        </w:rPr>
        <w:t>电机及各种电气设备金属外壳应有良好接地，并应有明显的接地标志；接地电阻不应大于4 Ω。</w:t>
      </w:r>
    </w:p>
    <w:p>
      <w:pPr>
        <w:ind w:firstLine="482"/>
      </w:pPr>
      <w:r>
        <w:rPr>
          <w:rFonts w:hint="eastAsia"/>
          <w:b/>
        </w:rPr>
        <w:t xml:space="preserve">4.17.4 </w:t>
      </w:r>
      <w:r>
        <w:rPr>
          <w:b/>
        </w:rPr>
        <w:t xml:space="preserve"> </w:t>
      </w:r>
      <w:r>
        <w:rPr>
          <w:rFonts w:hint="eastAsia"/>
        </w:rPr>
        <w:t>一体化设备所有管路均应按照GB 7231规定标识。</w:t>
      </w:r>
    </w:p>
    <w:p>
      <w:pPr>
        <w:ind w:firstLine="482"/>
      </w:pPr>
      <w:r>
        <w:rPr>
          <w:rFonts w:hint="eastAsia"/>
          <w:b/>
        </w:rPr>
        <w:t>4.17.5</w:t>
      </w:r>
      <w:r>
        <w:rPr>
          <w:b/>
        </w:rPr>
        <w:t xml:space="preserve"> </w:t>
      </w:r>
      <w:r>
        <w:rPr>
          <w:rFonts w:hint="eastAsia"/>
          <w:b/>
        </w:rPr>
        <w:t xml:space="preserve"> </w:t>
      </w:r>
      <w:r>
        <w:rPr>
          <w:rFonts w:hint="eastAsia"/>
        </w:rPr>
        <w:t>一体化设备在检修维护过程中，如需进入设备内部检修，应进行强制通风，通风换气次数应为5次/h～10次/h。</w:t>
      </w:r>
    </w:p>
    <w:p>
      <w:pPr>
        <w:pStyle w:val="3"/>
        <w:sectPr>
          <w:headerReference r:id="rId25" w:type="default"/>
          <w:pgSz w:w="11906" w:h="16838"/>
          <w:pgMar w:top="1440" w:right="1800" w:bottom="1440" w:left="1800" w:header="851" w:footer="992" w:gutter="0"/>
          <w:pgNumType w:fmt="numberInDash"/>
          <w:cols w:space="425" w:num="1"/>
          <w:docGrid w:type="lines" w:linePitch="312" w:charSpace="0"/>
        </w:sectPr>
      </w:pPr>
      <w:bookmarkStart w:id="27" w:name="_Toc28604"/>
    </w:p>
    <w:p>
      <w:pPr>
        <w:pStyle w:val="3"/>
      </w:pPr>
      <w:r>
        <w:rPr>
          <w:rFonts w:hint="eastAsia"/>
        </w:rPr>
        <w:t>试验方法</w:t>
      </w:r>
      <w:bookmarkEnd w:id="27"/>
    </w:p>
    <w:p>
      <w:pPr>
        <w:pStyle w:val="4"/>
        <w:spacing w:before="468" w:after="468"/>
      </w:pPr>
      <w:bookmarkStart w:id="28" w:name="_Toc28394"/>
      <w:r>
        <w:rPr>
          <w:rFonts w:hint="eastAsia"/>
        </w:rPr>
        <w:t>一体化设备构件检查</w:t>
      </w:r>
      <w:bookmarkEnd w:id="28"/>
    </w:p>
    <w:p>
      <w:pPr>
        <w:ind w:firstLine="482"/>
      </w:pPr>
      <w:r>
        <w:rPr>
          <w:rFonts w:hint="eastAsia"/>
          <w:b/>
        </w:rPr>
        <w:t xml:space="preserve">5.1.1 </w:t>
      </w:r>
      <w:r>
        <w:rPr>
          <w:b/>
        </w:rPr>
        <w:t xml:space="preserve"> </w:t>
      </w:r>
      <w:r>
        <w:rPr>
          <w:rFonts w:hint="eastAsia"/>
        </w:rPr>
        <w:t>外观检查用目测和手触摸的方法检验。</w:t>
      </w:r>
    </w:p>
    <w:p>
      <w:pPr>
        <w:ind w:firstLine="482"/>
      </w:pPr>
      <w:r>
        <w:rPr>
          <w:rFonts w:hint="eastAsia"/>
          <w:b/>
        </w:rPr>
        <w:t xml:space="preserve">5.1.2 </w:t>
      </w:r>
      <w:r>
        <w:rPr>
          <w:b/>
        </w:rPr>
        <w:t xml:space="preserve"> </w:t>
      </w:r>
      <w:r>
        <w:rPr>
          <w:rFonts w:hint="eastAsia"/>
        </w:rPr>
        <w:t>各零部件及整机的尺寸采用相应精度等级的量具进行测量，壁厚用游标卡尺进行测量。</w:t>
      </w:r>
    </w:p>
    <w:p>
      <w:pPr>
        <w:ind w:firstLine="482"/>
      </w:pPr>
      <w:r>
        <w:rPr>
          <w:rFonts w:hint="eastAsia"/>
          <w:b/>
        </w:rPr>
        <w:t xml:space="preserve">5.1.3 </w:t>
      </w:r>
      <w:r>
        <w:rPr>
          <w:b/>
        </w:rPr>
        <w:t xml:space="preserve"> </w:t>
      </w:r>
      <w:r>
        <w:rPr>
          <w:rFonts w:hint="eastAsia"/>
        </w:rPr>
        <w:t>部件质量检查部件合格证或由生产厂家提供检验报告。</w:t>
      </w:r>
    </w:p>
    <w:p>
      <w:pPr>
        <w:ind w:firstLine="482"/>
      </w:pPr>
      <w:r>
        <w:rPr>
          <w:rFonts w:hint="eastAsia"/>
          <w:b/>
        </w:rPr>
        <w:t xml:space="preserve">5.1.4 </w:t>
      </w:r>
      <w:r>
        <w:rPr>
          <w:b/>
        </w:rPr>
        <w:t xml:space="preserve"> </w:t>
      </w:r>
      <w:r>
        <w:rPr>
          <w:rFonts w:hint="eastAsia"/>
        </w:rPr>
        <w:t>壳体由生产厂家提供材料合格证，壳体加工完成后按照GB/T 700-2006、GB/T 3280-2007、GB/T 4171-2008的规定验收；</w:t>
      </w:r>
    </w:p>
    <w:p>
      <w:pPr>
        <w:ind w:firstLine="482"/>
      </w:pPr>
      <w:r>
        <w:rPr>
          <w:rFonts w:hint="eastAsia"/>
          <w:b/>
        </w:rPr>
        <w:t xml:space="preserve">5.1.5 </w:t>
      </w:r>
      <w:r>
        <w:rPr>
          <w:b/>
        </w:rPr>
        <w:t xml:space="preserve"> </w:t>
      </w:r>
      <w:r>
        <w:rPr>
          <w:rFonts w:hint="eastAsia"/>
        </w:rPr>
        <w:t>管道材质由生产厂家提供材料合格证，加工完成后按照GB/T 4291.1-2008、GB/T 12771-2008和GB/T 3091-2015的规定验收。</w:t>
      </w:r>
    </w:p>
    <w:p>
      <w:pPr>
        <w:ind w:firstLine="482"/>
      </w:pPr>
      <w:r>
        <w:rPr>
          <w:rFonts w:hint="eastAsia"/>
          <w:b/>
        </w:rPr>
        <w:t xml:space="preserve">5.1.6 </w:t>
      </w:r>
      <w:r>
        <w:rPr>
          <w:b/>
        </w:rPr>
        <w:t xml:space="preserve"> </w:t>
      </w:r>
      <w:r>
        <w:rPr>
          <w:rFonts w:hint="eastAsia"/>
        </w:rPr>
        <w:t>普通金属材料涂装前表面除锈质量目视评定，涂层干膜总厚度用漆膜测厚仪测量。</w:t>
      </w:r>
    </w:p>
    <w:p>
      <w:pPr>
        <w:ind w:firstLine="482"/>
      </w:pPr>
      <w:r>
        <w:rPr>
          <w:rFonts w:hint="eastAsia"/>
          <w:b/>
        </w:rPr>
        <w:t xml:space="preserve">5.1.7 </w:t>
      </w:r>
      <w:r>
        <w:rPr>
          <w:b/>
        </w:rPr>
        <w:t xml:space="preserve"> </w:t>
      </w:r>
      <w:r>
        <w:rPr>
          <w:rFonts w:hint="eastAsia"/>
        </w:rPr>
        <w:t>焊接质量检查应按JB/T 5943的规定。</w:t>
      </w:r>
    </w:p>
    <w:p>
      <w:pPr>
        <w:ind w:firstLine="482"/>
      </w:pPr>
      <w:r>
        <w:rPr>
          <w:rFonts w:hint="eastAsia"/>
          <w:b/>
        </w:rPr>
        <w:t>5.1.8</w:t>
      </w:r>
      <w:r>
        <w:rPr>
          <w:b/>
        </w:rPr>
        <w:t xml:space="preserve"> </w:t>
      </w:r>
      <w:r>
        <w:rPr>
          <w:rFonts w:hint="eastAsia"/>
          <w:b/>
        </w:rPr>
        <w:t xml:space="preserve"> </w:t>
      </w:r>
      <w:r>
        <w:rPr>
          <w:rFonts w:hint="eastAsia"/>
        </w:rPr>
        <w:t>焊缝密封性检查：将焊缝清理干净，在其中一面涂上白粉，晾干后在焊缝的另一面涂上煤油，使其表面得到足够的浸润，30 min后观察白粉一面无油渍。</w:t>
      </w:r>
    </w:p>
    <w:p>
      <w:pPr>
        <w:ind w:firstLine="482"/>
      </w:pPr>
      <w:r>
        <w:rPr>
          <w:rFonts w:hint="eastAsia"/>
          <w:b/>
        </w:rPr>
        <w:t xml:space="preserve">5.1.9 </w:t>
      </w:r>
      <w:r>
        <w:rPr>
          <w:b/>
        </w:rPr>
        <w:t xml:space="preserve"> </w:t>
      </w:r>
      <w:r>
        <w:rPr>
          <w:rFonts w:hint="eastAsia"/>
        </w:rPr>
        <w:t>设备的安全距离用钢卷尺或皮尺等通用量具测量。</w:t>
      </w:r>
    </w:p>
    <w:p>
      <w:pPr>
        <w:pStyle w:val="4"/>
        <w:spacing w:before="468" w:after="468"/>
      </w:pPr>
      <w:bookmarkStart w:id="29" w:name="_Toc28076"/>
      <w:r>
        <w:rPr>
          <w:rFonts w:hint="eastAsia"/>
        </w:rPr>
        <w:t>整机装配要求检验</w:t>
      </w:r>
      <w:bookmarkEnd w:id="29"/>
    </w:p>
    <w:p>
      <w:pPr>
        <w:ind w:firstLine="482"/>
      </w:pPr>
      <w:r>
        <w:rPr>
          <w:rFonts w:hint="eastAsia"/>
          <w:b/>
        </w:rPr>
        <w:t xml:space="preserve">5.2.1 </w:t>
      </w:r>
      <w:r>
        <w:rPr>
          <w:rFonts w:hint="eastAsia"/>
        </w:rPr>
        <w:t xml:space="preserve"> 装置各部件连接、安装按照装置安装图、工艺图、电气原理图、接线图进行全面检查，确保装置整体部件安装正确无误。</w:t>
      </w:r>
    </w:p>
    <w:p>
      <w:pPr>
        <w:ind w:firstLine="482"/>
      </w:pPr>
      <w:r>
        <w:rPr>
          <w:rFonts w:hint="eastAsia"/>
          <w:b/>
        </w:rPr>
        <w:t xml:space="preserve">5.2.2 </w:t>
      </w:r>
      <w:r>
        <w:t xml:space="preserve"> </w:t>
      </w:r>
      <w:r>
        <w:rPr>
          <w:rFonts w:hint="eastAsia"/>
        </w:rPr>
        <w:t>装置在空载状态进行启动、停止至少3次，检查各个部位运行是否符合4.13.2、4.13.3的要求。</w:t>
      </w:r>
    </w:p>
    <w:p>
      <w:pPr>
        <w:ind w:firstLine="482"/>
      </w:pPr>
      <w:r>
        <w:rPr>
          <w:rFonts w:hint="eastAsia"/>
          <w:b/>
        </w:rPr>
        <w:t xml:space="preserve">5.2.3 </w:t>
      </w:r>
      <w:r>
        <w:rPr>
          <w:b/>
        </w:rPr>
        <w:t xml:space="preserve"> </w:t>
      </w:r>
      <w:r>
        <w:rPr>
          <w:rFonts w:hint="eastAsia"/>
        </w:rPr>
        <w:t>向箱体内注入清水至溢流管口的高度，保持给水为24h，检查箱体连接部位的渗漏情况。</w:t>
      </w:r>
    </w:p>
    <w:p>
      <w:pPr>
        <w:ind w:firstLine="482"/>
      </w:pPr>
      <w:r>
        <w:rPr>
          <w:rFonts w:hint="eastAsia"/>
          <w:b/>
        </w:rPr>
        <w:t xml:space="preserve">5.2.4 </w:t>
      </w:r>
      <w:r>
        <w:rPr>
          <w:b/>
        </w:rPr>
        <w:t xml:space="preserve"> </w:t>
      </w:r>
      <w:r>
        <w:rPr>
          <w:rFonts w:hint="eastAsia"/>
        </w:rPr>
        <w:t>对管路进行水压试验，试验压力不低于设计压力的1.5倍。金属管路在试验压力下稳定30 min后，不应渗漏；塑料管路在试验压力下稳定1h，各连接处不应渗漏。</w:t>
      </w:r>
    </w:p>
    <w:p>
      <w:pPr>
        <w:pStyle w:val="4"/>
        <w:spacing w:before="468" w:after="468"/>
      </w:pPr>
      <w:bookmarkStart w:id="30" w:name="_Toc4020"/>
      <w:r>
        <w:rPr>
          <w:rFonts w:hint="eastAsia"/>
        </w:rPr>
        <w:t>性能试验方法</w:t>
      </w:r>
      <w:bookmarkEnd w:id="30"/>
    </w:p>
    <w:p>
      <w:pPr>
        <w:ind w:firstLine="482"/>
      </w:pPr>
      <w:r>
        <w:rPr>
          <w:rFonts w:hint="eastAsia"/>
          <w:b/>
        </w:rPr>
        <w:t>5.3.1</w:t>
      </w:r>
      <w:r>
        <w:rPr>
          <w:b/>
        </w:rPr>
        <w:t xml:space="preserve"> </w:t>
      </w:r>
      <w:r>
        <w:rPr>
          <w:rFonts w:hint="eastAsia"/>
          <w:b/>
        </w:rPr>
        <w:t xml:space="preserve"> </w:t>
      </w:r>
      <w:r>
        <w:rPr>
          <w:rFonts w:hint="eastAsia"/>
        </w:rPr>
        <w:t>装置经调试正常运行后，其出水水质按照表2要求进行检测。</w:t>
      </w:r>
    </w:p>
    <w:p>
      <w:pPr>
        <w:ind w:firstLine="482"/>
      </w:pPr>
      <w:r>
        <w:rPr>
          <w:rFonts w:hint="eastAsia"/>
          <w:b/>
        </w:rPr>
        <w:t>5.3.2</w:t>
      </w:r>
      <w:r>
        <w:rPr>
          <w:b/>
        </w:rPr>
        <w:t xml:space="preserve"> </w:t>
      </w:r>
      <w:r>
        <w:rPr>
          <w:rFonts w:hint="eastAsia"/>
          <w:b/>
        </w:rPr>
        <w:t xml:space="preserve"> </w:t>
      </w:r>
      <w:r>
        <w:rPr>
          <w:rFonts w:hint="eastAsia"/>
        </w:rPr>
        <w:t>处理水量采用精度不低于2.5的电磁流量计测量。</w:t>
      </w:r>
    </w:p>
    <w:p>
      <w:pPr>
        <w:ind w:firstLine="482"/>
      </w:pPr>
      <w:r>
        <w:rPr>
          <w:rFonts w:hint="eastAsia"/>
          <w:b/>
        </w:rPr>
        <w:t xml:space="preserve">5.3.3 </w:t>
      </w:r>
      <w:r>
        <w:rPr>
          <w:b/>
        </w:rPr>
        <w:t xml:space="preserve"> </w:t>
      </w:r>
      <w:r>
        <w:rPr>
          <w:rFonts w:hint="eastAsia"/>
        </w:rPr>
        <w:t>装置的接地电阻采用欧姆表测定。</w:t>
      </w:r>
    </w:p>
    <w:p>
      <w:pPr>
        <w:ind w:firstLine="482"/>
      </w:pPr>
      <w:r>
        <w:rPr>
          <w:rFonts w:hint="eastAsia"/>
          <w:b/>
        </w:rPr>
        <w:t xml:space="preserve">5.3.4 </w:t>
      </w:r>
      <w:r>
        <w:rPr>
          <w:b/>
        </w:rPr>
        <w:t xml:space="preserve"> </w:t>
      </w:r>
      <w:r>
        <w:rPr>
          <w:rFonts w:hint="eastAsia"/>
        </w:rPr>
        <w:t>采用手动和自动控制操作，检查仪器指示及自动控制系统的运行情况。对自动化控制设备应模拟故障操作2次至3次，检查自动安全保护装置和自动报警功能。</w:t>
      </w:r>
    </w:p>
    <w:p>
      <w:pPr>
        <w:pStyle w:val="33"/>
        <w:ind w:firstLine="0" w:firstLineChars="0"/>
      </w:pPr>
      <w:r>
        <w:rPr>
          <w:rFonts w:hint="eastAsia"/>
        </w:rPr>
        <w:t>表2 检测项目和方法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2738"/>
        <w:gridCol w:w="274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911" w:type="dxa"/>
            <w:tcBorders>
              <w:top w:val="single" w:color="auto" w:sz="12" w:space="0"/>
              <w:left w:val="single" w:color="auto" w:sz="12" w:space="0"/>
              <w:bottom w:val="single" w:color="auto" w:sz="12" w:space="0"/>
            </w:tcBorders>
          </w:tcPr>
          <w:p>
            <w:pPr>
              <w:pStyle w:val="34"/>
              <w:rPr>
                <w:rFonts w:hint="default"/>
              </w:rPr>
            </w:pPr>
            <w:r>
              <w:t>序号</w:t>
            </w:r>
          </w:p>
        </w:tc>
        <w:tc>
          <w:tcPr>
            <w:tcW w:w="2738" w:type="dxa"/>
            <w:tcBorders>
              <w:top w:val="single" w:color="auto" w:sz="12" w:space="0"/>
              <w:bottom w:val="single" w:color="auto" w:sz="12" w:space="0"/>
            </w:tcBorders>
          </w:tcPr>
          <w:p>
            <w:pPr>
              <w:pStyle w:val="34"/>
              <w:rPr>
                <w:rFonts w:hint="default"/>
              </w:rPr>
            </w:pPr>
            <w:r>
              <w:t>项目名称</w:t>
            </w:r>
          </w:p>
        </w:tc>
        <w:tc>
          <w:tcPr>
            <w:tcW w:w="2742" w:type="dxa"/>
            <w:tcBorders>
              <w:top w:val="single" w:color="auto" w:sz="12" w:space="0"/>
              <w:bottom w:val="single" w:color="auto" w:sz="12" w:space="0"/>
            </w:tcBorders>
          </w:tcPr>
          <w:p>
            <w:pPr>
              <w:pStyle w:val="34"/>
              <w:rPr>
                <w:rFonts w:hint="default"/>
              </w:rPr>
            </w:pPr>
            <w:r>
              <w:t>测定方法</w:t>
            </w:r>
          </w:p>
        </w:tc>
        <w:tc>
          <w:tcPr>
            <w:tcW w:w="2131" w:type="dxa"/>
            <w:tcBorders>
              <w:top w:val="single" w:color="auto" w:sz="12" w:space="0"/>
              <w:bottom w:val="single" w:color="auto" w:sz="12" w:space="0"/>
              <w:right w:val="single" w:color="auto" w:sz="12" w:space="0"/>
            </w:tcBorders>
          </w:tcPr>
          <w:p>
            <w:pPr>
              <w:pStyle w:val="34"/>
              <w:rPr>
                <w:rFonts w:hint="default"/>
              </w:rPr>
            </w:pPr>
            <w:r>
              <w:t>方法来源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1" w:type="dxa"/>
            <w:tcBorders>
              <w:top w:val="single" w:color="auto" w:sz="12" w:space="0"/>
              <w:left w:val="single" w:color="auto" w:sz="12" w:space="0"/>
            </w:tcBorders>
          </w:tcPr>
          <w:p>
            <w:pPr>
              <w:pStyle w:val="34"/>
              <w:rPr>
                <w:rFonts w:hint="default"/>
              </w:rPr>
            </w:pPr>
            <w:r>
              <w:t>1</w:t>
            </w:r>
          </w:p>
        </w:tc>
        <w:tc>
          <w:tcPr>
            <w:tcW w:w="2738" w:type="dxa"/>
            <w:tcBorders>
              <w:top w:val="single" w:color="auto" w:sz="12" w:space="0"/>
            </w:tcBorders>
          </w:tcPr>
          <w:p>
            <w:pPr>
              <w:pStyle w:val="34"/>
              <w:rPr>
                <w:rFonts w:hint="default"/>
              </w:rPr>
            </w:pPr>
            <w:r>
              <w:t>悬浮物（SS）</w:t>
            </w:r>
          </w:p>
        </w:tc>
        <w:tc>
          <w:tcPr>
            <w:tcW w:w="2742" w:type="dxa"/>
            <w:tcBorders>
              <w:top w:val="single" w:color="auto" w:sz="12" w:space="0"/>
            </w:tcBorders>
          </w:tcPr>
          <w:p>
            <w:pPr>
              <w:pStyle w:val="34"/>
              <w:rPr>
                <w:rFonts w:hint="default"/>
              </w:rPr>
            </w:pPr>
            <w:r>
              <w:t>重量法</w:t>
            </w:r>
          </w:p>
        </w:tc>
        <w:tc>
          <w:tcPr>
            <w:tcW w:w="2131" w:type="dxa"/>
            <w:tcBorders>
              <w:top w:val="single" w:color="auto" w:sz="12" w:space="0"/>
              <w:right w:val="single" w:color="auto" w:sz="12" w:space="0"/>
            </w:tcBorders>
          </w:tcPr>
          <w:p>
            <w:pPr>
              <w:pStyle w:val="34"/>
              <w:rPr>
                <w:rFonts w:hint="default"/>
              </w:rPr>
            </w:pPr>
            <w:r>
              <w:t>GB 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left w:val="single" w:color="auto" w:sz="12" w:space="0"/>
              <w:bottom w:val="single" w:color="auto" w:sz="12" w:space="0"/>
            </w:tcBorders>
          </w:tcPr>
          <w:p>
            <w:pPr>
              <w:pStyle w:val="34"/>
              <w:rPr>
                <w:rFonts w:hint="default"/>
              </w:rPr>
            </w:pPr>
            <w:r>
              <w:t>2</w:t>
            </w:r>
          </w:p>
        </w:tc>
        <w:tc>
          <w:tcPr>
            <w:tcW w:w="2738" w:type="dxa"/>
            <w:tcBorders>
              <w:bottom w:val="single" w:color="auto" w:sz="12" w:space="0"/>
            </w:tcBorders>
          </w:tcPr>
          <w:p>
            <w:pPr>
              <w:pStyle w:val="34"/>
              <w:rPr>
                <w:rFonts w:hint="default"/>
              </w:rPr>
            </w:pPr>
            <w:r>
              <w:t>pH</w:t>
            </w:r>
          </w:p>
        </w:tc>
        <w:tc>
          <w:tcPr>
            <w:tcW w:w="2742" w:type="dxa"/>
            <w:tcBorders>
              <w:bottom w:val="single" w:color="auto" w:sz="12" w:space="0"/>
            </w:tcBorders>
          </w:tcPr>
          <w:p>
            <w:pPr>
              <w:pStyle w:val="34"/>
              <w:rPr>
                <w:rFonts w:hint="default"/>
              </w:rPr>
            </w:pPr>
            <w:r>
              <w:t>电极法</w:t>
            </w:r>
          </w:p>
        </w:tc>
        <w:tc>
          <w:tcPr>
            <w:tcW w:w="2131" w:type="dxa"/>
            <w:tcBorders>
              <w:bottom w:val="single" w:color="auto" w:sz="12" w:space="0"/>
              <w:right w:val="single" w:color="auto" w:sz="12" w:space="0"/>
            </w:tcBorders>
          </w:tcPr>
          <w:p>
            <w:pPr>
              <w:pStyle w:val="34"/>
              <w:rPr>
                <w:rFonts w:hint="default"/>
              </w:rPr>
            </w:pPr>
            <w:r>
              <w:t>HJ 1147</w:t>
            </w:r>
          </w:p>
        </w:tc>
      </w:tr>
    </w:tbl>
    <w:p>
      <w:pPr>
        <w:pStyle w:val="3"/>
        <w:sectPr>
          <w:headerReference r:id="rId26" w:type="default"/>
          <w:headerReference r:id="rId27" w:type="even"/>
          <w:pgSz w:w="11906" w:h="16838"/>
          <w:pgMar w:top="1440" w:right="1800" w:bottom="1440" w:left="1800" w:header="851" w:footer="992" w:gutter="0"/>
          <w:pgNumType w:fmt="numberInDash"/>
          <w:cols w:space="425" w:num="1"/>
          <w:docGrid w:type="lines" w:linePitch="312" w:charSpace="0"/>
        </w:sectPr>
      </w:pPr>
      <w:bookmarkStart w:id="31" w:name="_Toc21791"/>
    </w:p>
    <w:p>
      <w:pPr>
        <w:pStyle w:val="3"/>
      </w:pPr>
      <w:r>
        <w:rPr>
          <w:rFonts w:hint="eastAsia"/>
        </w:rPr>
        <w:t>检验规则</w:t>
      </w:r>
      <w:bookmarkEnd w:id="31"/>
    </w:p>
    <w:p>
      <w:pPr>
        <w:ind w:firstLine="480"/>
      </w:pPr>
      <w:r>
        <w:rPr>
          <w:rFonts w:hint="eastAsia"/>
        </w:rPr>
        <w:t>一体化设备的检验类型分为出厂检验、型式试验和现场检验。</w:t>
      </w:r>
    </w:p>
    <w:p>
      <w:pPr>
        <w:pStyle w:val="4"/>
        <w:spacing w:before="468" w:after="468"/>
      </w:pPr>
      <w:bookmarkStart w:id="32" w:name="_Toc12037"/>
      <w:r>
        <w:rPr>
          <w:rFonts w:hint="eastAsia"/>
        </w:rPr>
        <w:t>出厂检验项目</w:t>
      </w:r>
      <w:bookmarkEnd w:id="32"/>
    </w:p>
    <w:p>
      <w:pPr>
        <w:ind w:firstLine="482"/>
      </w:pPr>
      <w:r>
        <w:rPr>
          <w:rFonts w:hint="eastAsia"/>
          <w:b/>
        </w:rPr>
        <w:t xml:space="preserve">6.1.1 </w:t>
      </w:r>
      <w:r>
        <w:rPr>
          <w:b/>
        </w:rPr>
        <w:t xml:space="preserve"> </w:t>
      </w:r>
      <w:r>
        <w:rPr>
          <w:rFonts w:hint="eastAsia"/>
        </w:rPr>
        <w:t>每台设备均应经厂内质量检验部门检验合格，并签发合格证后方可出厂。</w:t>
      </w:r>
    </w:p>
    <w:p>
      <w:pPr>
        <w:ind w:firstLine="482"/>
      </w:pPr>
      <w:r>
        <w:rPr>
          <w:rFonts w:hint="eastAsia"/>
          <w:b/>
        </w:rPr>
        <w:t xml:space="preserve">6.1.2 </w:t>
      </w:r>
      <w:r>
        <w:t xml:space="preserve"> </w:t>
      </w:r>
      <w:r>
        <w:rPr>
          <w:rFonts w:hint="eastAsia"/>
        </w:rPr>
        <w:t>出厂检验按表3的规定项目和要求进行。</w:t>
      </w:r>
    </w:p>
    <w:p>
      <w:pPr>
        <w:pStyle w:val="33"/>
        <w:ind w:firstLine="0" w:firstLineChars="0"/>
      </w:pPr>
      <w:r>
        <w:rPr>
          <w:rFonts w:hint="eastAsia"/>
        </w:rPr>
        <w:t>表3 检验项目和检验方法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00"/>
        <w:gridCol w:w="1604"/>
        <w:gridCol w:w="993"/>
        <w:gridCol w:w="966"/>
        <w:gridCol w:w="1018"/>
        <w:gridCol w:w="95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restart"/>
            <w:tcBorders>
              <w:top w:val="single" w:color="auto" w:sz="12" w:space="0"/>
              <w:left w:val="single" w:color="auto" w:sz="12" w:space="0"/>
              <w:bottom w:val="single" w:color="auto" w:sz="12" w:space="0"/>
            </w:tcBorders>
            <w:vAlign w:val="center"/>
          </w:tcPr>
          <w:p>
            <w:pPr>
              <w:pStyle w:val="34"/>
              <w:rPr>
                <w:rFonts w:hint="default"/>
              </w:rPr>
            </w:pPr>
            <w:r>
              <w:t>序号</w:t>
            </w:r>
          </w:p>
        </w:tc>
        <w:tc>
          <w:tcPr>
            <w:tcW w:w="2404" w:type="dxa"/>
            <w:gridSpan w:val="2"/>
            <w:vMerge w:val="restart"/>
            <w:tcBorders>
              <w:top w:val="single" w:color="auto" w:sz="12" w:space="0"/>
              <w:bottom w:val="single" w:color="auto" w:sz="12" w:space="0"/>
            </w:tcBorders>
            <w:vAlign w:val="center"/>
          </w:tcPr>
          <w:p>
            <w:pPr>
              <w:pStyle w:val="34"/>
              <w:rPr>
                <w:rFonts w:hint="default"/>
              </w:rPr>
            </w:pPr>
            <w:r>
              <w:t>检验内容</w:t>
            </w:r>
          </w:p>
        </w:tc>
        <w:tc>
          <w:tcPr>
            <w:tcW w:w="2977" w:type="dxa"/>
            <w:gridSpan w:val="3"/>
            <w:tcBorders>
              <w:top w:val="single" w:color="auto" w:sz="12" w:space="0"/>
              <w:bottom w:val="single" w:color="auto" w:sz="4" w:space="0"/>
            </w:tcBorders>
            <w:vAlign w:val="center"/>
          </w:tcPr>
          <w:p>
            <w:pPr>
              <w:pStyle w:val="34"/>
              <w:rPr>
                <w:rFonts w:hint="default"/>
              </w:rPr>
            </w:pPr>
            <w:r>
              <w:t>检验类型</w:t>
            </w:r>
          </w:p>
        </w:tc>
        <w:tc>
          <w:tcPr>
            <w:tcW w:w="957" w:type="dxa"/>
            <w:vMerge w:val="restart"/>
            <w:tcBorders>
              <w:top w:val="single" w:color="auto" w:sz="12" w:space="0"/>
              <w:bottom w:val="single" w:color="auto" w:sz="12" w:space="0"/>
            </w:tcBorders>
            <w:vAlign w:val="center"/>
          </w:tcPr>
          <w:p>
            <w:pPr>
              <w:pStyle w:val="34"/>
              <w:rPr>
                <w:rFonts w:hint="default"/>
              </w:rPr>
            </w:pPr>
            <w:r>
              <w:t>技术要求</w:t>
            </w:r>
          </w:p>
        </w:tc>
        <w:tc>
          <w:tcPr>
            <w:tcW w:w="1557" w:type="dxa"/>
            <w:vMerge w:val="restart"/>
            <w:tcBorders>
              <w:top w:val="single" w:color="auto" w:sz="12" w:space="0"/>
              <w:bottom w:val="single" w:color="auto" w:sz="12" w:space="0"/>
              <w:right w:val="single" w:color="auto" w:sz="12" w:space="0"/>
            </w:tcBorders>
            <w:vAlign w:val="center"/>
          </w:tcPr>
          <w:p>
            <w:pPr>
              <w:pStyle w:val="34"/>
              <w:rPr>
                <w:rFonts w:hint="default"/>
              </w:rP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left w:val="single" w:color="auto" w:sz="12" w:space="0"/>
              <w:bottom w:val="single" w:color="auto" w:sz="12" w:space="0"/>
            </w:tcBorders>
            <w:vAlign w:val="center"/>
          </w:tcPr>
          <w:p>
            <w:pPr>
              <w:pStyle w:val="34"/>
              <w:rPr>
                <w:rFonts w:hint="default"/>
              </w:rPr>
            </w:pPr>
          </w:p>
        </w:tc>
        <w:tc>
          <w:tcPr>
            <w:tcW w:w="2404" w:type="dxa"/>
            <w:gridSpan w:val="2"/>
            <w:vMerge w:val="continue"/>
            <w:tcBorders>
              <w:bottom w:val="single" w:color="auto" w:sz="12" w:space="0"/>
            </w:tcBorders>
            <w:vAlign w:val="center"/>
          </w:tcPr>
          <w:p>
            <w:pPr>
              <w:pStyle w:val="34"/>
              <w:rPr>
                <w:rFonts w:hint="default"/>
              </w:rPr>
            </w:pPr>
          </w:p>
        </w:tc>
        <w:tc>
          <w:tcPr>
            <w:tcW w:w="993" w:type="dxa"/>
            <w:tcBorders>
              <w:bottom w:val="single" w:color="auto" w:sz="12" w:space="0"/>
            </w:tcBorders>
            <w:vAlign w:val="center"/>
          </w:tcPr>
          <w:p>
            <w:pPr>
              <w:pStyle w:val="34"/>
              <w:rPr>
                <w:rFonts w:hint="default"/>
              </w:rPr>
            </w:pPr>
            <w:r>
              <w:t>出厂检验</w:t>
            </w:r>
          </w:p>
        </w:tc>
        <w:tc>
          <w:tcPr>
            <w:tcW w:w="966" w:type="dxa"/>
            <w:tcBorders>
              <w:bottom w:val="single" w:color="auto" w:sz="12" w:space="0"/>
            </w:tcBorders>
            <w:vAlign w:val="center"/>
          </w:tcPr>
          <w:p>
            <w:pPr>
              <w:pStyle w:val="34"/>
              <w:rPr>
                <w:rFonts w:hint="default"/>
              </w:rPr>
            </w:pPr>
            <w:r>
              <w:t>型式检验</w:t>
            </w:r>
          </w:p>
        </w:tc>
        <w:tc>
          <w:tcPr>
            <w:tcW w:w="1018" w:type="dxa"/>
            <w:tcBorders>
              <w:bottom w:val="single" w:color="auto" w:sz="12" w:space="0"/>
            </w:tcBorders>
            <w:vAlign w:val="center"/>
          </w:tcPr>
          <w:p>
            <w:pPr>
              <w:pStyle w:val="34"/>
              <w:rPr>
                <w:rFonts w:hint="default"/>
              </w:rPr>
            </w:pPr>
            <w:r>
              <w:t>现场检验</w:t>
            </w:r>
          </w:p>
        </w:tc>
        <w:tc>
          <w:tcPr>
            <w:tcW w:w="957" w:type="dxa"/>
            <w:vMerge w:val="continue"/>
            <w:tcBorders>
              <w:bottom w:val="single" w:color="auto" w:sz="12" w:space="0"/>
            </w:tcBorders>
          </w:tcPr>
          <w:p>
            <w:pPr>
              <w:pStyle w:val="34"/>
              <w:rPr>
                <w:rFonts w:hint="default"/>
              </w:rPr>
            </w:pPr>
          </w:p>
        </w:tc>
        <w:tc>
          <w:tcPr>
            <w:tcW w:w="1557" w:type="dxa"/>
            <w:vMerge w:val="continue"/>
            <w:tcBorders>
              <w:bottom w:val="single" w:color="auto" w:sz="12" w:space="0"/>
              <w:right w:val="single" w:color="auto" w:sz="12" w:space="0"/>
            </w:tcBorders>
          </w:tcPr>
          <w:p>
            <w:pPr>
              <w:pStyle w:val="34"/>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12" w:space="0"/>
              <w:left w:val="single" w:color="auto" w:sz="12" w:space="0"/>
            </w:tcBorders>
            <w:vAlign w:val="center"/>
          </w:tcPr>
          <w:p>
            <w:pPr>
              <w:pStyle w:val="34"/>
              <w:rPr>
                <w:rFonts w:hint="default"/>
              </w:rPr>
            </w:pPr>
            <w:r>
              <w:t>1</w:t>
            </w:r>
          </w:p>
        </w:tc>
        <w:tc>
          <w:tcPr>
            <w:tcW w:w="2404" w:type="dxa"/>
            <w:gridSpan w:val="2"/>
            <w:tcBorders>
              <w:top w:val="single" w:color="auto" w:sz="12" w:space="0"/>
            </w:tcBorders>
            <w:vAlign w:val="center"/>
          </w:tcPr>
          <w:p>
            <w:pPr>
              <w:pStyle w:val="34"/>
              <w:rPr>
                <w:rFonts w:hint="default"/>
              </w:rPr>
            </w:pPr>
            <w:r>
              <w:t>材料要求</w:t>
            </w:r>
          </w:p>
        </w:tc>
        <w:tc>
          <w:tcPr>
            <w:tcW w:w="993" w:type="dxa"/>
            <w:tcBorders>
              <w:top w:val="single" w:color="auto" w:sz="12" w:space="0"/>
            </w:tcBorders>
            <w:vAlign w:val="center"/>
          </w:tcPr>
          <w:p>
            <w:pPr>
              <w:pStyle w:val="34"/>
              <w:rPr>
                <w:rFonts w:hint="default"/>
              </w:rPr>
            </w:pPr>
            <w:r>
              <w:t>√</w:t>
            </w:r>
          </w:p>
        </w:tc>
        <w:tc>
          <w:tcPr>
            <w:tcW w:w="966" w:type="dxa"/>
            <w:tcBorders>
              <w:top w:val="single" w:color="auto" w:sz="12" w:space="0"/>
            </w:tcBorders>
            <w:vAlign w:val="center"/>
          </w:tcPr>
          <w:p>
            <w:pPr>
              <w:pStyle w:val="34"/>
              <w:rPr>
                <w:rFonts w:hint="default"/>
              </w:rPr>
            </w:pPr>
            <w:r>
              <w:t>√</w:t>
            </w:r>
          </w:p>
        </w:tc>
        <w:tc>
          <w:tcPr>
            <w:tcW w:w="1018" w:type="dxa"/>
            <w:tcBorders>
              <w:top w:val="single" w:color="auto" w:sz="12" w:space="0"/>
            </w:tcBorders>
            <w:vAlign w:val="center"/>
          </w:tcPr>
          <w:p>
            <w:pPr>
              <w:pStyle w:val="34"/>
              <w:rPr>
                <w:rFonts w:hint="default"/>
              </w:rPr>
            </w:pPr>
            <w:r>
              <w:t>-</w:t>
            </w:r>
          </w:p>
        </w:tc>
        <w:tc>
          <w:tcPr>
            <w:tcW w:w="957" w:type="dxa"/>
            <w:tcBorders>
              <w:top w:val="single" w:color="auto" w:sz="12" w:space="0"/>
            </w:tcBorders>
          </w:tcPr>
          <w:p>
            <w:pPr>
              <w:pStyle w:val="34"/>
              <w:rPr>
                <w:rFonts w:hint="default"/>
              </w:rPr>
            </w:pPr>
            <w:r>
              <w:t>4.6</w:t>
            </w:r>
          </w:p>
        </w:tc>
        <w:tc>
          <w:tcPr>
            <w:tcW w:w="1557" w:type="dxa"/>
            <w:tcBorders>
              <w:top w:val="single" w:color="auto" w:sz="12" w:space="0"/>
              <w:right w:val="single" w:color="auto" w:sz="12" w:space="0"/>
            </w:tcBorders>
          </w:tcPr>
          <w:p>
            <w:pPr>
              <w:pStyle w:val="34"/>
              <w:rPr>
                <w:rFonts w:hint="default"/>
              </w:rPr>
            </w:pPr>
            <w: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2</w:t>
            </w:r>
          </w:p>
        </w:tc>
        <w:tc>
          <w:tcPr>
            <w:tcW w:w="2404" w:type="dxa"/>
            <w:gridSpan w:val="2"/>
            <w:vAlign w:val="center"/>
          </w:tcPr>
          <w:p>
            <w:pPr>
              <w:pStyle w:val="34"/>
              <w:rPr>
                <w:rFonts w:hint="default"/>
              </w:rPr>
            </w:pPr>
            <w:r>
              <w:t>外观要求</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4.7</w:t>
            </w:r>
          </w:p>
        </w:tc>
        <w:tc>
          <w:tcPr>
            <w:tcW w:w="1557" w:type="dxa"/>
            <w:tcBorders>
              <w:right w:val="single" w:color="auto" w:sz="12" w:space="0"/>
            </w:tcBorders>
          </w:tcPr>
          <w:p>
            <w:pPr>
              <w:pStyle w:val="34"/>
              <w:rPr>
                <w:rFonts w:hint="default"/>
              </w:rPr>
            </w:pPr>
            <w: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3</w:t>
            </w:r>
          </w:p>
        </w:tc>
        <w:tc>
          <w:tcPr>
            <w:tcW w:w="2404" w:type="dxa"/>
            <w:gridSpan w:val="2"/>
            <w:vAlign w:val="center"/>
          </w:tcPr>
          <w:p>
            <w:pPr>
              <w:pStyle w:val="34"/>
              <w:rPr>
                <w:rFonts w:hint="default"/>
              </w:rPr>
            </w:pPr>
            <w:r>
              <w:t>尺寸偏差</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4.8</w:t>
            </w:r>
          </w:p>
        </w:tc>
        <w:tc>
          <w:tcPr>
            <w:tcW w:w="1557" w:type="dxa"/>
            <w:tcBorders>
              <w:right w:val="single" w:color="auto" w:sz="12" w:space="0"/>
            </w:tcBorders>
          </w:tcPr>
          <w:p>
            <w:pPr>
              <w:pStyle w:val="34"/>
              <w:rPr>
                <w:rFonts w:hint="default"/>
              </w:rPr>
            </w:pPr>
            <w: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4</w:t>
            </w:r>
          </w:p>
        </w:tc>
        <w:tc>
          <w:tcPr>
            <w:tcW w:w="2404" w:type="dxa"/>
            <w:gridSpan w:val="2"/>
            <w:vAlign w:val="center"/>
          </w:tcPr>
          <w:p>
            <w:pPr>
              <w:pStyle w:val="34"/>
              <w:rPr>
                <w:rFonts w:hint="default"/>
              </w:rPr>
            </w:pPr>
            <w:r>
              <w:t>涂覆要求</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4.10</w:t>
            </w:r>
          </w:p>
        </w:tc>
        <w:tc>
          <w:tcPr>
            <w:tcW w:w="1557" w:type="dxa"/>
            <w:tcBorders>
              <w:right w:val="single" w:color="auto" w:sz="12" w:space="0"/>
            </w:tcBorders>
          </w:tcPr>
          <w:p>
            <w:pPr>
              <w:pStyle w:val="34"/>
              <w:rPr>
                <w:rFonts w:hint="default"/>
              </w:rPr>
            </w:pPr>
            <w: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5</w:t>
            </w:r>
          </w:p>
        </w:tc>
        <w:tc>
          <w:tcPr>
            <w:tcW w:w="2404" w:type="dxa"/>
            <w:gridSpan w:val="2"/>
            <w:vAlign w:val="center"/>
          </w:tcPr>
          <w:p>
            <w:pPr>
              <w:pStyle w:val="34"/>
              <w:rPr>
                <w:rFonts w:hint="default"/>
              </w:rPr>
            </w:pPr>
            <w:r>
              <w:t>焊接要求</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4.9</w:t>
            </w:r>
          </w:p>
        </w:tc>
        <w:tc>
          <w:tcPr>
            <w:tcW w:w="1557" w:type="dxa"/>
            <w:tcBorders>
              <w:right w:val="single" w:color="auto" w:sz="12" w:space="0"/>
            </w:tcBorders>
          </w:tcPr>
          <w:p>
            <w:pPr>
              <w:pStyle w:val="34"/>
              <w:rPr>
                <w:rFonts w:hint="default"/>
              </w:rPr>
            </w:pPr>
            <w:r>
              <w:t>5.1.7、5.1.8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6</w:t>
            </w:r>
          </w:p>
        </w:tc>
        <w:tc>
          <w:tcPr>
            <w:tcW w:w="2404" w:type="dxa"/>
            <w:gridSpan w:val="2"/>
            <w:vAlign w:val="center"/>
          </w:tcPr>
          <w:p>
            <w:pPr>
              <w:pStyle w:val="34"/>
              <w:rPr>
                <w:rFonts w:hint="default"/>
              </w:rPr>
            </w:pPr>
            <w:r>
              <w:t>电气设备外壳防护等级</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4.11</w:t>
            </w:r>
          </w:p>
        </w:tc>
        <w:tc>
          <w:tcPr>
            <w:tcW w:w="1557" w:type="dxa"/>
            <w:tcBorders>
              <w:right w:val="single" w:color="auto" w:sz="12" w:space="0"/>
            </w:tcBorders>
          </w:tcPr>
          <w:p>
            <w:pPr>
              <w:pStyle w:val="34"/>
              <w:rPr>
                <w:rFonts w:hint="default"/>
              </w:rPr>
            </w:pPr>
            <w: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7</w:t>
            </w:r>
          </w:p>
        </w:tc>
        <w:tc>
          <w:tcPr>
            <w:tcW w:w="2404" w:type="dxa"/>
            <w:gridSpan w:val="2"/>
            <w:vAlign w:val="center"/>
          </w:tcPr>
          <w:p>
            <w:pPr>
              <w:pStyle w:val="34"/>
              <w:rPr>
                <w:rFonts w:hint="default"/>
              </w:rPr>
            </w:pPr>
            <w:r>
              <w:t>结构要求</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4.12</w:t>
            </w:r>
          </w:p>
        </w:tc>
        <w:tc>
          <w:tcPr>
            <w:tcW w:w="1557" w:type="dxa"/>
            <w:tcBorders>
              <w:right w:val="single" w:color="auto" w:sz="12" w:space="0"/>
            </w:tcBorders>
          </w:tcPr>
          <w:p>
            <w:pPr>
              <w:pStyle w:val="34"/>
              <w:rPr>
                <w:rFonts w:hint="default"/>
              </w:rPr>
            </w:pPr>
            <w: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8</w:t>
            </w:r>
          </w:p>
        </w:tc>
        <w:tc>
          <w:tcPr>
            <w:tcW w:w="2404" w:type="dxa"/>
            <w:gridSpan w:val="2"/>
            <w:vAlign w:val="center"/>
          </w:tcPr>
          <w:p>
            <w:pPr>
              <w:pStyle w:val="34"/>
              <w:rPr>
                <w:rFonts w:hint="default"/>
              </w:rPr>
            </w:pPr>
            <w:r>
              <w:t>强度及密封性要求</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4.13</w:t>
            </w:r>
          </w:p>
        </w:tc>
        <w:tc>
          <w:tcPr>
            <w:tcW w:w="1557" w:type="dxa"/>
            <w:tcBorders>
              <w:right w:val="single" w:color="auto" w:sz="12" w:space="0"/>
            </w:tcBorders>
          </w:tcPr>
          <w:p>
            <w:pPr>
              <w:pStyle w:val="34"/>
              <w:rPr>
                <w:rFonts w:hint="default"/>
              </w:rPr>
            </w:pPr>
            <w:r>
              <w:t>5.2.3、5.2.4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9</w:t>
            </w:r>
          </w:p>
        </w:tc>
        <w:tc>
          <w:tcPr>
            <w:tcW w:w="2404" w:type="dxa"/>
            <w:gridSpan w:val="2"/>
            <w:vAlign w:val="center"/>
          </w:tcPr>
          <w:p>
            <w:pPr>
              <w:pStyle w:val="34"/>
              <w:rPr>
                <w:rFonts w:hint="default"/>
              </w:rPr>
            </w:pPr>
            <w:r>
              <w:t>设备安全距离检测</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4.14</w:t>
            </w:r>
          </w:p>
        </w:tc>
        <w:tc>
          <w:tcPr>
            <w:tcW w:w="1557" w:type="dxa"/>
            <w:tcBorders>
              <w:right w:val="single" w:color="auto" w:sz="12" w:space="0"/>
            </w:tcBorders>
          </w:tcPr>
          <w:p>
            <w:pPr>
              <w:pStyle w:val="34"/>
              <w:rPr>
                <w:rFonts w:hint="default"/>
              </w:rPr>
            </w:pPr>
            <w: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tcBorders>
            <w:vAlign w:val="center"/>
          </w:tcPr>
          <w:p>
            <w:pPr>
              <w:pStyle w:val="34"/>
              <w:rPr>
                <w:rFonts w:hint="default"/>
              </w:rPr>
            </w:pPr>
            <w:r>
              <w:t>10</w:t>
            </w:r>
          </w:p>
        </w:tc>
        <w:tc>
          <w:tcPr>
            <w:tcW w:w="800" w:type="dxa"/>
            <w:vMerge w:val="restart"/>
            <w:vAlign w:val="center"/>
          </w:tcPr>
          <w:p>
            <w:pPr>
              <w:pStyle w:val="34"/>
              <w:rPr>
                <w:rFonts w:hint="default"/>
              </w:rPr>
            </w:pPr>
            <w:r>
              <w:t>性能</w:t>
            </w:r>
          </w:p>
          <w:p>
            <w:pPr>
              <w:pStyle w:val="34"/>
              <w:rPr>
                <w:rFonts w:hint="default"/>
              </w:rPr>
            </w:pPr>
            <w:r>
              <w:t>要求</w:t>
            </w:r>
          </w:p>
        </w:tc>
        <w:tc>
          <w:tcPr>
            <w:tcW w:w="1604" w:type="dxa"/>
            <w:vAlign w:val="center"/>
          </w:tcPr>
          <w:p>
            <w:pPr>
              <w:pStyle w:val="34"/>
              <w:rPr>
                <w:rFonts w:hint="default"/>
              </w:rPr>
            </w:pPr>
            <w:r>
              <w:t>进、出水水质</w:t>
            </w:r>
          </w:p>
        </w:tc>
        <w:tc>
          <w:tcPr>
            <w:tcW w:w="993" w:type="dxa"/>
            <w:vAlign w:val="center"/>
          </w:tcPr>
          <w:p>
            <w:pPr>
              <w:pStyle w:val="34"/>
              <w:rPr>
                <w:rFonts w:hint="default"/>
              </w:rPr>
            </w:pPr>
            <w:r>
              <w:t>-</w:t>
            </w:r>
          </w:p>
        </w:tc>
        <w:tc>
          <w:tcPr>
            <w:tcW w:w="966" w:type="dxa"/>
            <w:vAlign w:val="center"/>
          </w:tcPr>
          <w:p>
            <w:pPr>
              <w:pStyle w:val="34"/>
              <w:rPr>
                <w:rFonts w:hint="default"/>
              </w:rPr>
            </w:pPr>
            <w:r>
              <w:t>-</w:t>
            </w:r>
          </w:p>
        </w:tc>
        <w:tc>
          <w:tcPr>
            <w:tcW w:w="1018" w:type="dxa"/>
            <w:vAlign w:val="center"/>
          </w:tcPr>
          <w:p>
            <w:pPr>
              <w:pStyle w:val="34"/>
              <w:rPr>
                <w:rFonts w:hint="default"/>
              </w:rPr>
            </w:pPr>
            <w:r>
              <w:t>√</w:t>
            </w:r>
          </w:p>
        </w:tc>
        <w:tc>
          <w:tcPr>
            <w:tcW w:w="957" w:type="dxa"/>
          </w:tcPr>
          <w:p>
            <w:pPr>
              <w:pStyle w:val="34"/>
              <w:rPr>
                <w:rFonts w:hint="default"/>
              </w:rPr>
            </w:pPr>
            <w:r>
              <w:t>4.16</w:t>
            </w:r>
          </w:p>
        </w:tc>
        <w:tc>
          <w:tcPr>
            <w:tcW w:w="1557" w:type="dxa"/>
            <w:tcBorders>
              <w:right w:val="single" w:color="auto" w:sz="12" w:space="0"/>
            </w:tcBorders>
          </w:tcPr>
          <w:p>
            <w:pPr>
              <w:pStyle w:val="34"/>
              <w:rPr>
                <w:rFonts w:hint="default"/>
              </w:rPr>
            </w:pPr>
            <w: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bottom w:val="single" w:color="auto" w:sz="4" w:space="0"/>
            </w:tcBorders>
            <w:vAlign w:val="center"/>
          </w:tcPr>
          <w:p>
            <w:pPr>
              <w:pStyle w:val="34"/>
              <w:rPr>
                <w:rFonts w:hint="default"/>
              </w:rPr>
            </w:pPr>
            <w:r>
              <w:t>11</w:t>
            </w:r>
          </w:p>
        </w:tc>
        <w:tc>
          <w:tcPr>
            <w:tcW w:w="800" w:type="dxa"/>
            <w:vMerge w:val="continue"/>
            <w:tcBorders>
              <w:bottom w:val="single" w:color="auto" w:sz="4" w:space="0"/>
            </w:tcBorders>
            <w:vAlign w:val="center"/>
          </w:tcPr>
          <w:p>
            <w:pPr>
              <w:pStyle w:val="34"/>
              <w:rPr>
                <w:rFonts w:hint="default"/>
              </w:rPr>
            </w:pPr>
          </w:p>
        </w:tc>
        <w:tc>
          <w:tcPr>
            <w:tcW w:w="1604" w:type="dxa"/>
            <w:tcBorders>
              <w:bottom w:val="single" w:color="auto" w:sz="4" w:space="0"/>
            </w:tcBorders>
            <w:vAlign w:val="center"/>
          </w:tcPr>
          <w:p>
            <w:pPr>
              <w:pStyle w:val="34"/>
              <w:rPr>
                <w:rFonts w:hint="default"/>
              </w:rPr>
            </w:pPr>
            <w:r>
              <w:t>出水流量</w:t>
            </w:r>
          </w:p>
        </w:tc>
        <w:tc>
          <w:tcPr>
            <w:tcW w:w="993" w:type="dxa"/>
            <w:tcBorders>
              <w:bottom w:val="single" w:color="auto" w:sz="4" w:space="0"/>
            </w:tcBorders>
            <w:vAlign w:val="center"/>
          </w:tcPr>
          <w:p>
            <w:pPr>
              <w:pStyle w:val="34"/>
              <w:rPr>
                <w:rFonts w:hint="default"/>
              </w:rPr>
            </w:pPr>
            <w:r>
              <w:t>√</w:t>
            </w:r>
          </w:p>
        </w:tc>
        <w:tc>
          <w:tcPr>
            <w:tcW w:w="966" w:type="dxa"/>
            <w:tcBorders>
              <w:bottom w:val="single" w:color="auto" w:sz="4" w:space="0"/>
            </w:tcBorders>
            <w:vAlign w:val="center"/>
          </w:tcPr>
          <w:p>
            <w:pPr>
              <w:pStyle w:val="34"/>
              <w:rPr>
                <w:rFonts w:hint="default"/>
              </w:rPr>
            </w:pPr>
            <w:r>
              <w:t>√</w:t>
            </w:r>
          </w:p>
        </w:tc>
        <w:tc>
          <w:tcPr>
            <w:tcW w:w="1018" w:type="dxa"/>
            <w:tcBorders>
              <w:bottom w:val="single" w:color="auto" w:sz="4" w:space="0"/>
            </w:tcBorders>
            <w:vAlign w:val="center"/>
          </w:tcPr>
          <w:p>
            <w:pPr>
              <w:pStyle w:val="34"/>
              <w:rPr>
                <w:rFonts w:hint="default"/>
              </w:rPr>
            </w:pPr>
            <w:r>
              <w:t>√</w:t>
            </w:r>
          </w:p>
        </w:tc>
        <w:tc>
          <w:tcPr>
            <w:tcW w:w="957" w:type="dxa"/>
            <w:tcBorders>
              <w:bottom w:val="single" w:color="auto" w:sz="4" w:space="0"/>
            </w:tcBorders>
          </w:tcPr>
          <w:p>
            <w:pPr>
              <w:pStyle w:val="34"/>
              <w:rPr>
                <w:rFonts w:hint="default"/>
              </w:rPr>
            </w:pPr>
          </w:p>
        </w:tc>
        <w:tc>
          <w:tcPr>
            <w:tcW w:w="1557" w:type="dxa"/>
            <w:tcBorders>
              <w:bottom w:val="single" w:color="auto" w:sz="4" w:space="0"/>
              <w:right w:val="single" w:color="auto" w:sz="12" w:space="0"/>
            </w:tcBorders>
          </w:tcPr>
          <w:p>
            <w:pPr>
              <w:pStyle w:val="34"/>
              <w:rPr>
                <w:rFonts w:hint="default"/>
              </w:rPr>
            </w:pPr>
            <w: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left w:val="single" w:color="auto" w:sz="12" w:space="0"/>
              <w:bottom w:val="single" w:color="auto" w:sz="12" w:space="0"/>
            </w:tcBorders>
            <w:vAlign w:val="center"/>
          </w:tcPr>
          <w:p>
            <w:pPr>
              <w:pStyle w:val="34"/>
              <w:rPr>
                <w:rFonts w:hint="default"/>
              </w:rPr>
            </w:pPr>
            <w:r>
              <w:t>12</w:t>
            </w:r>
          </w:p>
        </w:tc>
        <w:tc>
          <w:tcPr>
            <w:tcW w:w="2404" w:type="dxa"/>
            <w:gridSpan w:val="2"/>
            <w:tcBorders>
              <w:bottom w:val="single" w:color="auto" w:sz="12" w:space="0"/>
            </w:tcBorders>
            <w:vAlign w:val="center"/>
          </w:tcPr>
          <w:p>
            <w:pPr>
              <w:pStyle w:val="34"/>
              <w:rPr>
                <w:rFonts w:hint="default"/>
              </w:rPr>
            </w:pPr>
            <w:r>
              <w:t>安全要求</w:t>
            </w:r>
          </w:p>
        </w:tc>
        <w:tc>
          <w:tcPr>
            <w:tcW w:w="993" w:type="dxa"/>
            <w:tcBorders>
              <w:bottom w:val="single" w:color="auto" w:sz="12" w:space="0"/>
            </w:tcBorders>
            <w:vAlign w:val="center"/>
          </w:tcPr>
          <w:p>
            <w:pPr>
              <w:pStyle w:val="34"/>
              <w:rPr>
                <w:rFonts w:hint="default"/>
              </w:rPr>
            </w:pPr>
            <w:r>
              <w:t>-</w:t>
            </w:r>
          </w:p>
        </w:tc>
        <w:tc>
          <w:tcPr>
            <w:tcW w:w="966" w:type="dxa"/>
            <w:tcBorders>
              <w:bottom w:val="single" w:color="auto" w:sz="12" w:space="0"/>
            </w:tcBorders>
            <w:vAlign w:val="center"/>
          </w:tcPr>
          <w:p>
            <w:pPr>
              <w:pStyle w:val="34"/>
              <w:rPr>
                <w:rFonts w:hint="default"/>
              </w:rPr>
            </w:pPr>
            <w:r>
              <w:t>-</w:t>
            </w:r>
          </w:p>
        </w:tc>
        <w:tc>
          <w:tcPr>
            <w:tcW w:w="1018" w:type="dxa"/>
            <w:tcBorders>
              <w:bottom w:val="single" w:color="auto" w:sz="12" w:space="0"/>
            </w:tcBorders>
            <w:vAlign w:val="center"/>
          </w:tcPr>
          <w:p>
            <w:pPr>
              <w:pStyle w:val="34"/>
              <w:rPr>
                <w:rFonts w:hint="default"/>
              </w:rPr>
            </w:pPr>
            <w:r>
              <w:t>√</w:t>
            </w:r>
          </w:p>
        </w:tc>
        <w:tc>
          <w:tcPr>
            <w:tcW w:w="957" w:type="dxa"/>
            <w:tcBorders>
              <w:bottom w:val="single" w:color="auto" w:sz="12" w:space="0"/>
            </w:tcBorders>
          </w:tcPr>
          <w:p>
            <w:pPr>
              <w:pStyle w:val="34"/>
              <w:rPr>
                <w:rFonts w:hint="default"/>
              </w:rPr>
            </w:pPr>
            <w:r>
              <w:t>4.17</w:t>
            </w:r>
          </w:p>
        </w:tc>
        <w:tc>
          <w:tcPr>
            <w:tcW w:w="1557" w:type="dxa"/>
            <w:tcBorders>
              <w:bottom w:val="single" w:color="auto" w:sz="12" w:space="0"/>
              <w:right w:val="single" w:color="auto" w:sz="12" w:space="0"/>
            </w:tcBorders>
          </w:tcPr>
          <w:p>
            <w:pPr>
              <w:pStyle w:val="34"/>
              <w:rPr>
                <w:rFonts w:hint="default"/>
              </w:rPr>
            </w:pPr>
            <w:r>
              <w:t>5.3.4</w:t>
            </w:r>
          </w:p>
        </w:tc>
      </w:tr>
    </w:tbl>
    <w:p>
      <w:pPr>
        <w:pStyle w:val="4"/>
        <w:spacing w:before="468" w:after="468"/>
      </w:pPr>
      <w:bookmarkStart w:id="33" w:name="_Toc23761"/>
      <w:r>
        <w:rPr>
          <w:rFonts w:hint="eastAsia"/>
        </w:rPr>
        <w:t>型式试验</w:t>
      </w:r>
      <w:bookmarkEnd w:id="33"/>
    </w:p>
    <w:p>
      <w:pPr>
        <w:pStyle w:val="18"/>
        <w:ind w:firstLine="482"/>
      </w:pPr>
      <w:r>
        <w:rPr>
          <w:rFonts w:hint="eastAsia"/>
          <w:b/>
        </w:rPr>
        <w:t xml:space="preserve">6.2.1 </w:t>
      </w:r>
      <w:r>
        <w:rPr>
          <w:b/>
        </w:rPr>
        <w:t xml:space="preserve"> </w:t>
      </w:r>
      <w:r>
        <w:rPr>
          <w:rFonts w:hint="eastAsia"/>
        </w:rPr>
        <w:t>试验条件</w:t>
      </w:r>
    </w:p>
    <w:p>
      <w:pPr>
        <w:pStyle w:val="18"/>
      </w:pPr>
      <w:r>
        <w:rPr>
          <w:rFonts w:hint="eastAsia"/>
        </w:rPr>
        <w:t>当出现下列情况之一时，应进行型式试验：</w:t>
      </w:r>
    </w:p>
    <w:p>
      <w:pPr>
        <w:pStyle w:val="18"/>
      </w:pPr>
      <w:r>
        <w:rPr>
          <w:rFonts w:hint="eastAsia"/>
        </w:rPr>
        <w:t>a） 新产品定型鉴定；</w:t>
      </w:r>
    </w:p>
    <w:p>
      <w:pPr>
        <w:pStyle w:val="18"/>
      </w:pPr>
      <w:r>
        <w:rPr>
          <w:rFonts w:hint="eastAsia"/>
        </w:rPr>
        <w:t>b） 生产后，产品结构、材料或工艺有重大改变，可能影响产品质量及性能时；</w:t>
      </w:r>
    </w:p>
    <w:p>
      <w:pPr>
        <w:pStyle w:val="18"/>
      </w:pPr>
      <w:r>
        <w:rPr>
          <w:rFonts w:hint="eastAsia"/>
        </w:rPr>
        <w:t>c） 正常生产中，每三年或积累一定产量后应进行一次型式试验；</w:t>
      </w:r>
    </w:p>
    <w:p>
      <w:pPr>
        <w:pStyle w:val="18"/>
      </w:pPr>
      <w:r>
        <w:rPr>
          <w:rFonts w:hint="eastAsia"/>
        </w:rPr>
        <w:t>d） 老产品转厂生产或产品停产两年以上恢复生产时；</w:t>
      </w:r>
    </w:p>
    <w:p>
      <w:pPr>
        <w:pStyle w:val="18"/>
      </w:pPr>
      <w:r>
        <w:rPr>
          <w:rFonts w:hint="eastAsia"/>
        </w:rPr>
        <w:t>e） 出厂检验结果和上次型式试验的结果有较大差异时；</w:t>
      </w:r>
    </w:p>
    <w:p>
      <w:pPr>
        <w:pStyle w:val="18"/>
      </w:pPr>
      <w:r>
        <w:rPr>
          <w:rFonts w:hint="eastAsia"/>
        </w:rPr>
        <w:t>f） 国家质量监督机构提出进行型式试验要求时。</w:t>
      </w:r>
    </w:p>
    <w:p>
      <w:pPr>
        <w:pStyle w:val="18"/>
        <w:ind w:firstLine="482"/>
      </w:pPr>
      <w:r>
        <w:rPr>
          <w:rFonts w:hint="eastAsia"/>
          <w:b/>
        </w:rPr>
        <w:t xml:space="preserve">6.2.2 </w:t>
      </w:r>
      <w:r>
        <w:rPr>
          <w:rFonts w:hint="eastAsia"/>
        </w:rPr>
        <w:t xml:space="preserve"> 型式试验可在生产厂进行，也可在使用现场进行。</w:t>
      </w:r>
    </w:p>
    <w:p>
      <w:pPr>
        <w:pStyle w:val="18"/>
        <w:ind w:firstLine="482"/>
      </w:pPr>
      <w:r>
        <w:rPr>
          <w:rFonts w:hint="eastAsia"/>
          <w:b/>
        </w:rPr>
        <w:t xml:space="preserve">6.2.3 </w:t>
      </w:r>
      <w:r>
        <w:rPr>
          <w:b/>
        </w:rPr>
        <w:t xml:space="preserve"> </w:t>
      </w:r>
      <w:r>
        <w:rPr>
          <w:rFonts w:hint="eastAsia"/>
        </w:rPr>
        <w:t>抽样</w:t>
      </w:r>
    </w:p>
    <w:p>
      <w:pPr>
        <w:pStyle w:val="18"/>
      </w:pPr>
      <w:r>
        <w:rPr>
          <w:rFonts w:hint="eastAsia"/>
        </w:rPr>
        <w:t>型式试验采取从出厂合格的产品中随机抽样，抽样数为二台。</w:t>
      </w:r>
    </w:p>
    <w:p>
      <w:pPr>
        <w:pStyle w:val="4"/>
        <w:spacing w:before="468" w:after="468"/>
      </w:pPr>
      <w:bookmarkStart w:id="34" w:name="_Toc13089"/>
      <w:r>
        <w:rPr>
          <w:rFonts w:hint="eastAsia"/>
        </w:rPr>
        <w:t>现场检验</w:t>
      </w:r>
      <w:bookmarkEnd w:id="34"/>
    </w:p>
    <w:p>
      <w:pPr>
        <w:pStyle w:val="18"/>
      </w:pPr>
      <w:r>
        <w:rPr>
          <w:rFonts w:hint="eastAsia"/>
        </w:rPr>
        <w:t>当出现下列情况之一时，应进行现场检验：</w:t>
      </w:r>
    </w:p>
    <w:p>
      <w:pPr>
        <w:pStyle w:val="18"/>
      </w:pPr>
      <w:r>
        <w:rPr>
          <w:rFonts w:hint="eastAsia"/>
        </w:rPr>
        <w:t>a） 运输过程中出现破损或事故；</w:t>
      </w:r>
    </w:p>
    <w:p>
      <w:pPr>
        <w:pStyle w:val="18"/>
      </w:pPr>
      <w:r>
        <w:rPr>
          <w:rFonts w:hint="eastAsia"/>
        </w:rPr>
        <w:t>b） 一体化设备出现二次移动；</w:t>
      </w:r>
    </w:p>
    <w:p>
      <w:pPr>
        <w:pStyle w:val="18"/>
      </w:pPr>
      <w:r>
        <w:rPr>
          <w:rFonts w:hint="eastAsia"/>
        </w:rPr>
        <w:t>c） 经调试后需对进出水水质进行检测。</w:t>
      </w:r>
    </w:p>
    <w:p>
      <w:pPr>
        <w:pStyle w:val="4"/>
        <w:spacing w:before="468" w:after="468"/>
      </w:pPr>
      <w:bookmarkStart w:id="35" w:name="_Toc6790"/>
      <w:r>
        <w:rPr>
          <w:rFonts w:hint="eastAsia"/>
        </w:rPr>
        <w:t>判定规则</w:t>
      </w:r>
      <w:bookmarkEnd w:id="35"/>
    </w:p>
    <w:p>
      <w:pPr>
        <w:pStyle w:val="18"/>
        <w:ind w:firstLine="482"/>
      </w:pPr>
      <w:r>
        <w:rPr>
          <w:rFonts w:hint="eastAsia"/>
          <w:b/>
        </w:rPr>
        <w:t xml:space="preserve">6.4.1 </w:t>
      </w:r>
      <w:r>
        <w:rPr>
          <w:b/>
        </w:rPr>
        <w:t xml:space="preserve"> </w:t>
      </w:r>
      <w:r>
        <w:rPr>
          <w:rFonts w:hint="eastAsia"/>
        </w:rPr>
        <w:t>产品经检验符合标准要求，则判定为合格。</w:t>
      </w:r>
    </w:p>
    <w:p>
      <w:pPr>
        <w:pStyle w:val="18"/>
        <w:ind w:firstLine="482"/>
      </w:pPr>
      <w:r>
        <w:rPr>
          <w:rFonts w:hint="eastAsia"/>
          <w:b/>
        </w:rPr>
        <w:t>6.4.2</w:t>
      </w:r>
      <w:r>
        <w:rPr>
          <w:b/>
        </w:rPr>
        <w:t xml:space="preserve"> </w:t>
      </w:r>
      <w:r>
        <w:rPr>
          <w:rFonts w:hint="eastAsia"/>
          <w:b/>
        </w:rPr>
        <w:t xml:space="preserve"> </w:t>
      </w:r>
      <w:r>
        <w:rPr>
          <w:rFonts w:hint="eastAsia"/>
        </w:rPr>
        <w:t>若抽查的样品有不合格项，应加倍抽样，对各项目进行复检，若复检结果为全部合格，则仍可判定该批产品合格。</w:t>
      </w:r>
    </w:p>
    <w:p>
      <w:pPr>
        <w:pStyle w:val="18"/>
        <w:ind w:firstLine="482"/>
      </w:pPr>
      <w:r>
        <w:rPr>
          <w:rFonts w:hint="eastAsia"/>
          <w:b/>
        </w:rPr>
        <w:t xml:space="preserve">6.4.3 </w:t>
      </w:r>
      <w:r>
        <w:rPr>
          <w:b/>
        </w:rPr>
        <w:t xml:space="preserve"> </w:t>
      </w:r>
      <w:r>
        <w:rPr>
          <w:rFonts w:hint="eastAsia"/>
        </w:rPr>
        <w:t>若复检产品中，仍有一台的任意一项不合格时，则判定该批产品不合格。</w:t>
      </w:r>
    </w:p>
    <w:p>
      <w:pPr>
        <w:pStyle w:val="3"/>
        <w:sectPr>
          <w:headerReference r:id="rId28" w:type="even"/>
          <w:pgSz w:w="11906" w:h="16838"/>
          <w:pgMar w:top="1440" w:right="1800" w:bottom="1440" w:left="1800" w:header="851" w:footer="992" w:gutter="0"/>
          <w:pgNumType w:fmt="numberInDash"/>
          <w:cols w:space="425" w:num="1"/>
          <w:docGrid w:type="lines" w:linePitch="312" w:charSpace="0"/>
        </w:sectPr>
      </w:pPr>
      <w:bookmarkStart w:id="36" w:name="_Toc18698"/>
    </w:p>
    <w:p>
      <w:pPr>
        <w:pStyle w:val="3"/>
      </w:pPr>
      <w:r>
        <w:rPr>
          <w:rFonts w:hint="eastAsia"/>
        </w:rPr>
        <w:t>标志、包装、运输与存储</w:t>
      </w:r>
      <w:bookmarkEnd w:id="36"/>
    </w:p>
    <w:p>
      <w:pPr>
        <w:pStyle w:val="4"/>
        <w:spacing w:before="468" w:after="468"/>
      </w:pPr>
      <w:bookmarkStart w:id="37" w:name="_Toc25692"/>
      <w:r>
        <w:t>标志</w:t>
      </w:r>
      <w:bookmarkEnd w:id="37"/>
    </w:p>
    <w:p>
      <w:pPr>
        <w:ind w:firstLine="480"/>
      </w:pPr>
      <w:r>
        <w:t>应在产品明显部位设置铭牌，铭牌应符合GB/T 13306-2011的规定，其内容包括：</w:t>
      </w:r>
    </w:p>
    <w:p>
      <w:pPr>
        <w:ind w:firstLine="480"/>
      </w:pPr>
      <w:r>
        <w:t>a） 产品名称、型号；</w:t>
      </w:r>
    </w:p>
    <w:p>
      <w:pPr>
        <w:ind w:firstLine="480"/>
      </w:pPr>
      <w:r>
        <w:t>b） 处理水量；</w:t>
      </w:r>
    </w:p>
    <w:p>
      <w:pPr>
        <w:ind w:firstLine="480"/>
      </w:pPr>
      <w:r>
        <w:t>c） 产品标准编号；</w:t>
      </w:r>
    </w:p>
    <w:p>
      <w:pPr>
        <w:ind w:firstLine="480"/>
      </w:pPr>
      <w:r>
        <w:t>d） 生产日期；</w:t>
      </w:r>
    </w:p>
    <w:p>
      <w:pPr>
        <w:ind w:firstLine="480"/>
      </w:pPr>
      <w:r>
        <w:t>e） 企业名称、详细地址、联系方式；</w:t>
      </w:r>
    </w:p>
    <w:p>
      <w:pPr>
        <w:ind w:firstLine="480"/>
      </w:pPr>
      <w:r>
        <w:t>f） 产品重量；</w:t>
      </w:r>
    </w:p>
    <w:p>
      <w:pPr>
        <w:ind w:firstLine="480"/>
      </w:pPr>
      <w:r>
        <w:t>g） 外形尺寸；</w:t>
      </w:r>
    </w:p>
    <w:p>
      <w:pPr>
        <w:ind w:firstLine="480"/>
      </w:pPr>
      <w:r>
        <w:t>h） 总功率；</w:t>
      </w:r>
    </w:p>
    <w:p>
      <w:pPr>
        <w:ind w:firstLine="480"/>
      </w:pPr>
      <w:r>
        <w:t>i） 警示标示。</w:t>
      </w:r>
    </w:p>
    <w:p>
      <w:pPr>
        <w:pStyle w:val="4"/>
        <w:spacing w:before="468" w:after="468"/>
      </w:pPr>
      <w:bookmarkStart w:id="38" w:name="_Toc24314"/>
      <w:r>
        <w:t>包装</w:t>
      </w:r>
      <w:bookmarkEnd w:id="38"/>
    </w:p>
    <w:p>
      <w:pPr>
        <w:ind w:firstLine="482"/>
      </w:pPr>
      <w:r>
        <w:rPr>
          <w:b/>
        </w:rPr>
        <w:t xml:space="preserve">7.2.1 </w:t>
      </w:r>
      <w:r>
        <w:t xml:space="preserve"> 包装方式应符合GB/T 13384-2008的规定。</w:t>
      </w:r>
    </w:p>
    <w:p>
      <w:pPr>
        <w:ind w:firstLine="482"/>
      </w:pPr>
      <w:r>
        <w:rPr>
          <w:b/>
        </w:rPr>
        <w:t xml:space="preserve">7.2.2 </w:t>
      </w:r>
      <w:r>
        <w:t xml:space="preserve"> 产品出厂包装时，所有接头、管口、法兰面应全部封住。</w:t>
      </w:r>
    </w:p>
    <w:p>
      <w:pPr>
        <w:ind w:firstLine="482"/>
      </w:pPr>
      <w:r>
        <w:rPr>
          <w:b/>
        </w:rPr>
        <w:t xml:space="preserve">7.2.3  </w:t>
      </w:r>
      <w:r>
        <w:t>所有仪器、仪表、填料等易损件应加以保护。</w:t>
      </w:r>
    </w:p>
    <w:p>
      <w:pPr>
        <w:ind w:firstLine="482"/>
      </w:pPr>
      <w:r>
        <w:rPr>
          <w:b/>
        </w:rPr>
        <w:t xml:space="preserve">7.2.4  </w:t>
      </w:r>
      <w:r>
        <w:t>包装箱外应有收发货标识和储运标识，并应符合GB/T 191-2000的规定。</w:t>
      </w:r>
    </w:p>
    <w:p>
      <w:pPr>
        <w:ind w:firstLine="482"/>
      </w:pPr>
      <w:r>
        <w:rPr>
          <w:b/>
        </w:rPr>
        <w:t xml:space="preserve">7.2.5  </w:t>
      </w:r>
      <w:r>
        <w:t>随机附带的技术文件，包括：</w:t>
      </w:r>
    </w:p>
    <w:p>
      <w:pPr>
        <w:ind w:firstLine="480"/>
      </w:pPr>
      <w:r>
        <w:t>a） 产品出厂检验合格证；</w:t>
      </w:r>
    </w:p>
    <w:p>
      <w:pPr>
        <w:ind w:firstLine="480"/>
      </w:pPr>
      <w:r>
        <w:t>b） 产品使用维护手册；</w:t>
      </w:r>
    </w:p>
    <w:p>
      <w:pPr>
        <w:ind w:firstLine="480"/>
      </w:pPr>
      <w:r>
        <w:t>c） 设备主要零部件清单；</w:t>
      </w:r>
    </w:p>
    <w:p>
      <w:pPr>
        <w:ind w:firstLine="480"/>
      </w:pPr>
      <w:r>
        <w:t>d） 产品保修卡；</w:t>
      </w:r>
    </w:p>
    <w:p>
      <w:pPr>
        <w:ind w:firstLine="480"/>
      </w:pPr>
      <w:r>
        <w:t>e） 其他必要的随机文件；</w:t>
      </w:r>
    </w:p>
    <w:p>
      <w:pPr>
        <w:ind w:firstLine="480"/>
      </w:pPr>
      <w:r>
        <w:t>f） 产品使用维护手册。</w:t>
      </w:r>
    </w:p>
    <w:p>
      <w:pPr>
        <w:pStyle w:val="4"/>
        <w:spacing w:before="468" w:after="468"/>
      </w:pPr>
      <w:bookmarkStart w:id="39" w:name="_Toc1490"/>
      <w:r>
        <w:t>运输</w:t>
      </w:r>
      <w:bookmarkEnd w:id="39"/>
    </w:p>
    <w:p>
      <w:pPr>
        <w:ind w:firstLine="482"/>
      </w:pPr>
      <w:r>
        <w:rPr>
          <w:b/>
        </w:rPr>
        <w:t xml:space="preserve">7.3.1  </w:t>
      </w:r>
      <w:r>
        <w:t>采用与产品尺寸匹配的重型平板运输车运输，运输车应满足QC/T 846-2011的相关要求。</w:t>
      </w:r>
    </w:p>
    <w:p>
      <w:pPr>
        <w:ind w:firstLine="482"/>
      </w:pPr>
      <w:r>
        <w:rPr>
          <w:b/>
        </w:rPr>
        <w:t xml:space="preserve">7.3.2  </w:t>
      </w:r>
      <w:r>
        <w:t>运输过程中应防止撞击、重压、拖滚、并远离明火。吊装过程中应轻装轻卸，不得摔碰、避免电器柜、壳体等受到挤压机碰撞，装运时不得倒置，需要垫平放置。</w:t>
      </w:r>
    </w:p>
    <w:p>
      <w:pPr>
        <w:pStyle w:val="4"/>
        <w:spacing w:before="468" w:after="468"/>
      </w:pPr>
      <w:bookmarkStart w:id="40" w:name="_Toc6113"/>
      <w:r>
        <w:t>储存</w:t>
      </w:r>
      <w:bookmarkEnd w:id="40"/>
    </w:p>
    <w:p>
      <w:pPr>
        <w:ind w:firstLine="482"/>
      </w:pPr>
      <w:r>
        <w:rPr>
          <w:b/>
        </w:rPr>
        <w:t xml:space="preserve">7.4.1  </w:t>
      </w:r>
      <w:r>
        <w:t>产品应远离火源贮存。填料应避免高温、远离明火的条件下贮存。电气控制装置及精密仪表等物品应防潮、防晒及防水等。</w:t>
      </w:r>
    </w:p>
    <w:p>
      <w:pPr>
        <w:ind w:firstLine="482"/>
      </w:pPr>
      <w:r>
        <w:rPr>
          <w:b/>
        </w:rPr>
        <w:t xml:space="preserve">7.4.2  </w:t>
      </w:r>
      <w:r>
        <w:t>一体化设备的贮存温度应为-10℃-45℃，相对湿度不应大于80%，通风且无酸碱性或其他有害气体的仓库中。</w:t>
      </w:r>
    </w:p>
    <w:sectPr>
      <w:headerReference r:id="rId2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entaur">
    <w:panose1 w:val="020305040502050203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0" w:firstLineChars="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ind w:firstLine="0" w:firstLineChars="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p>
    <w:pPr>
      <w:pStyle w:val="19"/>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pBdr>
      <w:spacing w:line="240" w:lineRule="auto"/>
      <w:ind w:firstLine="0" w:firstLineChars="0"/>
      <w:jc w:val="right"/>
      <w:rPr>
        <w:rFonts w:ascii="黑体" w:hAnsi="黑体" w:cs="黑体"/>
        <w:b w:val="0"/>
      </w:rPr>
    </w:pPr>
    <w:r>
      <w:rPr>
        <w:rFonts w:hint="eastAsia" w:ascii="黑体" w:hAnsi="黑体" w:cs="黑体"/>
        <w:b w:val="0"/>
      </w:rPr>
      <w:t xml:space="preserve">术  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pPr>
    <w:r>
      <w:rPr>
        <w:rFonts w:hint="eastAsia" w:ascii="黑体" w:hAnsi="黑体" w:cs="黑体"/>
      </w:rPr>
      <w:t>隧道施工废水处理设备产品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pBdr>
      <w:spacing w:line="240" w:lineRule="auto"/>
      <w:ind w:firstLine="0" w:firstLineChars="0"/>
      <w:jc w:val="right"/>
      <w:rPr>
        <w:rFonts w:ascii="黑体" w:hAnsi="黑体" w:cs="黑体"/>
        <w:b w:val="0"/>
      </w:rPr>
    </w:pPr>
    <w:r>
      <w:rPr>
        <w:rFonts w:hint="eastAsia" w:ascii="黑体" w:hAnsi="黑体" w:cs="黑体"/>
        <w:b w:val="0"/>
      </w:rPr>
      <w:t>技术要求</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pBdr>
      <w:spacing w:line="240" w:lineRule="auto"/>
      <w:ind w:firstLine="0" w:firstLineChars="0"/>
      <w:rPr>
        <w:rFonts w:ascii="黑体" w:hAnsi="黑体" w:cs="黑体"/>
        <w:b w:val="0"/>
      </w:rPr>
    </w:pPr>
    <w:r>
      <w:rPr>
        <w:rFonts w:hint="eastAsia" w:ascii="黑体" w:hAnsi="黑体" w:cs="黑体"/>
        <w:b w:val="0"/>
      </w:rPr>
      <w:t>隧道施工废水处理设备产品</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pPr>
    <w:r>
      <w:rPr>
        <w:rFonts w:hint="eastAsia" w:ascii="黑体" w:hAnsi="黑体" w:cs="黑体"/>
      </w:rPr>
      <w:t>试验方法</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pPr>
    <w:r>
      <w:rPr>
        <w:rFonts w:hint="eastAsia" w:ascii="黑体" w:hAnsi="黑体" w:cs="黑体"/>
      </w:rPr>
      <w:t>检验规则</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pPr>
    <w:r>
      <w:rPr>
        <w:rFonts w:hint="eastAsia" w:ascii="黑体" w:hAnsi="黑体" w:cs="黑体"/>
      </w:rPr>
      <w:t>标志、包装、运输与存储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pBdr>
      <w:spacing w:line="240" w:lineRule="auto"/>
      <w:ind w:firstLine="0" w:firstLineChars="0"/>
      <w:rPr>
        <w:rFonts w:ascii="黑体" w:hAnsi="黑体" w:cs="黑体"/>
        <w:b w:val="0"/>
      </w:rPr>
    </w:pPr>
    <w:r>
      <w:rPr>
        <w:rFonts w:hint="eastAsia" w:ascii="黑体" w:hAnsi="黑体" w:cs="黑体"/>
        <w:b w:val="0"/>
      </w:rPr>
      <w:t>隧道施工废水处理设备产品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pBdr>
      <w:wordWrap w:val="0"/>
      <w:spacing w:line="240" w:lineRule="auto"/>
      <w:ind w:firstLine="0" w:firstLineChars="0"/>
      <w:jc w:val="right"/>
      <w:rPr>
        <w:rFonts w:ascii="黑体" w:hAnsi="黑体" w:cs="黑体"/>
        <w:bCs/>
      </w:rPr>
    </w:pPr>
    <w:r>
      <w:rPr>
        <w:rFonts w:hint="eastAsia" w:ascii="黑体" w:hAnsi="黑体" w:cs="黑体"/>
        <w:b w:val="0"/>
      </w:rPr>
      <w:t>目   次</w:t>
    </w:r>
    <w:r>
      <w:rPr>
        <w:rFonts w:hint="eastAsia" w:ascii="黑体" w:hAnsi="黑体" w:cs="黑体"/>
        <w:bC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pBdr>
      <w:spacing w:line="240" w:lineRule="auto"/>
      <w:ind w:firstLine="0" w:firstLineChars="0"/>
      <w:rPr>
        <w:rFonts w:ascii="黑体" w:hAnsi="黑体" w:cs="黑体"/>
        <w:b w:val="0"/>
      </w:rPr>
    </w:pPr>
    <w:r>
      <w:rPr>
        <w:rFonts w:hint="eastAsia" w:ascii="黑体" w:hAnsi="黑体" w:cs="黑体"/>
        <w:b w:val="0"/>
      </w:rPr>
      <w:t>隧道施工废水处理设备产品</w:t>
    </w:r>
  </w:p>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bottom w:val="single" w:color="auto" w:sz="4" w:space="0"/>
      </w:pBdr>
      <w:wordWrap w:val="0"/>
      <w:spacing w:line="240" w:lineRule="auto"/>
      <w:ind w:firstLine="0" w:firstLineChars="0"/>
      <w:jc w:val="right"/>
      <w:rPr>
        <w:rFonts w:ascii="黑体" w:hAnsi="黑体" w:cs="黑体"/>
        <w:bCs/>
      </w:rPr>
    </w:pPr>
    <w:r>
      <w:rPr>
        <w:rFonts w:hint="eastAsia" w:ascii="黑体" w:hAnsi="黑体" w:cs="黑体"/>
        <w:b w:val="0"/>
      </w:rPr>
      <w:t>范   围</w:t>
    </w:r>
    <w:r>
      <w:rPr>
        <w:rFonts w:hint="eastAsia" w:ascii="黑体" w:hAnsi="黑体" w:cs="黑体"/>
        <w:bCs/>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pBdr>
      <w:spacing w:line="240" w:lineRule="auto"/>
      <w:ind w:firstLine="0" w:firstLineChars="0"/>
      <w:jc w:val="right"/>
      <w:rPr>
        <w:rFonts w:ascii="黑体" w:hAnsi="黑体" w:cs="黑体"/>
        <w:bCs/>
      </w:rPr>
    </w:pPr>
    <w:r>
      <w:rPr>
        <w:rFonts w:hint="eastAsia" w:ascii="黑体" w:hAnsi="黑体" w:cs="黑体"/>
        <w:b w:val="0"/>
      </w:rPr>
      <w:t>规范性引用文件</w:t>
    </w:r>
    <w:r>
      <w:rPr>
        <w:rFonts w:hint="eastAsia" w:ascii="黑体" w:hAnsi="黑体" w:cs="黑体"/>
        <w:bCs/>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rPr>
        <w:rFonts w:hint="eastAsia" w:ascii="黑体" w:hAnsi="黑体" w:cs="黑体"/>
      </w:rPr>
      <w:t>隧道施工废水处理设备产品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E3AAA"/>
    <w:multiLevelType w:val="multilevel"/>
    <w:tmpl w:val="E63E3AAA"/>
    <w:lvl w:ilvl="0" w:tentative="0">
      <w:start w:val="1"/>
      <w:numFmt w:val="decimal"/>
      <w:pStyle w:val="3"/>
      <w:suff w:val="space"/>
      <w:lvlText w:val="%1"/>
      <w:lvlJc w:val="left"/>
      <w:pPr>
        <w:tabs>
          <w:tab w:val="left" w:pos="0"/>
        </w:tabs>
        <w:ind w:left="0" w:firstLine="0"/>
      </w:pPr>
      <w:rPr>
        <w:rFonts w:hint="default" w:ascii="宋体" w:hAnsi="宋体" w:eastAsia="宋体" w:cs="宋体"/>
      </w:rPr>
    </w:lvl>
    <w:lvl w:ilvl="1" w:tentative="0">
      <w:start w:val="1"/>
      <w:numFmt w:val="decimal"/>
      <w:pStyle w:val="4"/>
      <w:suff w:val="space"/>
      <w:lvlText w:val="%1.%2"/>
      <w:lvlJc w:val="left"/>
      <w:pPr>
        <w:tabs>
          <w:tab w:val="left" w:pos="0"/>
        </w:tabs>
        <w:ind w:left="0" w:firstLine="0"/>
      </w:pPr>
      <w:rPr>
        <w:rFonts w:hint="default" w:ascii="宋体" w:hAnsi="宋体" w:eastAsia="宋体" w:cs="宋体"/>
      </w:rPr>
    </w:lvl>
    <w:lvl w:ilvl="2" w:tentative="0">
      <w:start w:val="1"/>
      <w:numFmt w:val="decimal"/>
      <w:pStyle w:val="5"/>
      <w:lvlText w:val="%1.%2.%3"/>
      <w:lvlJc w:val="left"/>
      <w:pPr>
        <w:tabs>
          <w:tab w:val="left" w:pos="0"/>
        </w:tabs>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MjZjYjFhMzE2YmM1NjI2N2ZhZDEyZmQ0MzVhYWUifQ=="/>
  </w:docVars>
  <w:rsids>
    <w:rsidRoot w:val="00BC4A51"/>
    <w:rsid w:val="00074C01"/>
    <w:rsid w:val="00224620"/>
    <w:rsid w:val="0026136B"/>
    <w:rsid w:val="002907BA"/>
    <w:rsid w:val="002C1984"/>
    <w:rsid w:val="003563B2"/>
    <w:rsid w:val="003A7A16"/>
    <w:rsid w:val="003B3DD1"/>
    <w:rsid w:val="003E02C2"/>
    <w:rsid w:val="004A79E1"/>
    <w:rsid w:val="004C2CC9"/>
    <w:rsid w:val="00512B27"/>
    <w:rsid w:val="0053201A"/>
    <w:rsid w:val="005C5F18"/>
    <w:rsid w:val="006157D0"/>
    <w:rsid w:val="00656643"/>
    <w:rsid w:val="006F20A0"/>
    <w:rsid w:val="00723B8B"/>
    <w:rsid w:val="0078126A"/>
    <w:rsid w:val="00786668"/>
    <w:rsid w:val="0099754F"/>
    <w:rsid w:val="009A7CBA"/>
    <w:rsid w:val="009E73B3"/>
    <w:rsid w:val="00A238F5"/>
    <w:rsid w:val="00A41EA3"/>
    <w:rsid w:val="00A7738A"/>
    <w:rsid w:val="00AD46C2"/>
    <w:rsid w:val="00AF5037"/>
    <w:rsid w:val="00B42105"/>
    <w:rsid w:val="00BC4A51"/>
    <w:rsid w:val="00CC4AA6"/>
    <w:rsid w:val="00D730E9"/>
    <w:rsid w:val="00D858CA"/>
    <w:rsid w:val="00E27FF3"/>
    <w:rsid w:val="00E452D2"/>
    <w:rsid w:val="00E72981"/>
    <w:rsid w:val="00F25532"/>
    <w:rsid w:val="00F91692"/>
    <w:rsid w:val="05E67403"/>
    <w:rsid w:val="091D0DD3"/>
    <w:rsid w:val="0A5A4CF0"/>
    <w:rsid w:val="0ACE5FCE"/>
    <w:rsid w:val="0B7966A8"/>
    <w:rsid w:val="0C635166"/>
    <w:rsid w:val="0CDB7AD3"/>
    <w:rsid w:val="0D0F1A15"/>
    <w:rsid w:val="10245308"/>
    <w:rsid w:val="10307238"/>
    <w:rsid w:val="1074577C"/>
    <w:rsid w:val="110E17A7"/>
    <w:rsid w:val="11BD77C2"/>
    <w:rsid w:val="125E4936"/>
    <w:rsid w:val="14065FB6"/>
    <w:rsid w:val="1824217E"/>
    <w:rsid w:val="185F2A16"/>
    <w:rsid w:val="19031D93"/>
    <w:rsid w:val="1A0F193E"/>
    <w:rsid w:val="1E197FE8"/>
    <w:rsid w:val="1E3D18A3"/>
    <w:rsid w:val="1F02024F"/>
    <w:rsid w:val="1F0B3750"/>
    <w:rsid w:val="1F6D1ACB"/>
    <w:rsid w:val="2127683B"/>
    <w:rsid w:val="23F07B48"/>
    <w:rsid w:val="25B74A80"/>
    <w:rsid w:val="26BB7926"/>
    <w:rsid w:val="27AD0FD7"/>
    <w:rsid w:val="287265EE"/>
    <w:rsid w:val="29424212"/>
    <w:rsid w:val="2A1D51E9"/>
    <w:rsid w:val="2A220882"/>
    <w:rsid w:val="2AEF3F25"/>
    <w:rsid w:val="2E085991"/>
    <w:rsid w:val="2E6A7D67"/>
    <w:rsid w:val="2EA14510"/>
    <w:rsid w:val="2ED172B8"/>
    <w:rsid w:val="2F9F17FE"/>
    <w:rsid w:val="3028207E"/>
    <w:rsid w:val="303A20E7"/>
    <w:rsid w:val="3044101E"/>
    <w:rsid w:val="30AA1F67"/>
    <w:rsid w:val="31331EC5"/>
    <w:rsid w:val="315100A7"/>
    <w:rsid w:val="33AD02EA"/>
    <w:rsid w:val="35FC33B7"/>
    <w:rsid w:val="36D773DE"/>
    <w:rsid w:val="37160A8C"/>
    <w:rsid w:val="38E54BBA"/>
    <w:rsid w:val="39BE1C59"/>
    <w:rsid w:val="3C051BE2"/>
    <w:rsid w:val="3CAF3E56"/>
    <w:rsid w:val="417944CB"/>
    <w:rsid w:val="419E232F"/>
    <w:rsid w:val="43BB1407"/>
    <w:rsid w:val="4429702C"/>
    <w:rsid w:val="48BC5937"/>
    <w:rsid w:val="4EDF1ABC"/>
    <w:rsid w:val="51874940"/>
    <w:rsid w:val="51ED4DB3"/>
    <w:rsid w:val="53F6729F"/>
    <w:rsid w:val="543A0058"/>
    <w:rsid w:val="57EC3A28"/>
    <w:rsid w:val="59E241C0"/>
    <w:rsid w:val="5D303DA6"/>
    <w:rsid w:val="5E671284"/>
    <w:rsid w:val="5E9D45C3"/>
    <w:rsid w:val="5EF3188F"/>
    <w:rsid w:val="60B2176C"/>
    <w:rsid w:val="62AE0F99"/>
    <w:rsid w:val="642C194B"/>
    <w:rsid w:val="644B04A2"/>
    <w:rsid w:val="64D31F07"/>
    <w:rsid w:val="66B7219B"/>
    <w:rsid w:val="68E1064A"/>
    <w:rsid w:val="690A49C7"/>
    <w:rsid w:val="6C7C2B64"/>
    <w:rsid w:val="710F3457"/>
    <w:rsid w:val="71B25445"/>
    <w:rsid w:val="74273CFD"/>
    <w:rsid w:val="7809416D"/>
    <w:rsid w:val="7A301431"/>
    <w:rsid w:val="7CFD6841"/>
    <w:rsid w:val="7D50324A"/>
    <w:rsid w:val="7E5B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720" w:after="840" w:line="576" w:lineRule="auto"/>
      <w:ind w:firstLineChars="0"/>
      <w:outlineLvl w:val="0"/>
    </w:pPr>
    <w:rPr>
      <w:b/>
      <w:kern w:val="44"/>
      <w:sz w:val="36"/>
    </w:rPr>
  </w:style>
  <w:style w:type="paragraph" w:styleId="4">
    <w:name w:val="heading 2"/>
    <w:basedOn w:val="1"/>
    <w:next w:val="1"/>
    <w:unhideWhenUsed/>
    <w:qFormat/>
    <w:uiPriority w:val="0"/>
    <w:pPr>
      <w:keepNext/>
      <w:keepLines/>
      <w:numPr>
        <w:ilvl w:val="1"/>
        <w:numId w:val="1"/>
      </w:numPr>
      <w:spacing w:before="150" w:beforeLines="150" w:after="150" w:afterLines="150" w:line="413" w:lineRule="auto"/>
      <w:ind w:firstLineChars="0"/>
      <w:outlineLvl w:val="1"/>
    </w:pPr>
    <w:rPr>
      <w:rFonts w:eastAsia="黑体"/>
      <w:b/>
    </w:rPr>
  </w:style>
  <w:style w:type="paragraph" w:styleId="5">
    <w:name w:val="heading 3"/>
    <w:basedOn w:val="1"/>
    <w:next w:val="1"/>
    <w:semiHidden/>
    <w:unhideWhenUsed/>
    <w:qFormat/>
    <w:uiPriority w:val="0"/>
    <w:pPr>
      <w:keepNext/>
      <w:keepLines/>
      <w:numPr>
        <w:ilvl w:val="2"/>
        <w:numId w:val="1"/>
      </w:numPr>
      <w:spacing w:before="260" w:after="260" w:line="413" w:lineRule="auto"/>
      <w:ind w:firstLine="0" w:firstLineChars="0"/>
      <w:outlineLvl w:val="2"/>
    </w:pPr>
    <w:rPr>
      <w:b/>
    </w:rPr>
  </w:style>
  <w:style w:type="paragraph" w:styleId="6">
    <w:name w:val="heading 4"/>
    <w:basedOn w:val="1"/>
    <w:next w:val="1"/>
    <w:semiHidden/>
    <w:unhideWhenUsed/>
    <w:qFormat/>
    <w:uiPriority w:val="0"/>
    <w:pPr>
      <w:keepNext/>
      <w:keepLines/>
      <w:numPr>
        <w:ilvl w:val="3"/>
        <w:numId w:val="1"/>
      </w:numPr>
      <w:spacing w:before="280" w:after="290" w:line="372" w:lineRule="auto"/>
      <w:ind w:firstLine="0"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579" w:firstLineChars="200"/>
    </w:pPr>
    <w:rPr>
      <w:rFonts w:cs="宋体"/>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pPr>
    <w:rPr>
      <w:rFonts w:eastAsia="华文细黑"/>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customStyle="1" w:styleId="18">
    <w:name w:val="样式 样式 样式 样式 小四 左 首行缩进:  2 字符 + 首行缩进:  2 字符 Char + 右  0 字符1 + 首行缩...3"/>
    <w:basedOn w:val="1"/>
    <w:qFormat/>
    <w:uiPriority w:val="0"/>
    <w:pPr>
      <w:adjustRightInd w:val="0"/>
      <w:spacing w:line="360" w:lineRule="auto"/>
      <w:ind w:firstLine="480"/>
      <w:jc w:val="left"/>
      <w:textAlignment w:val="baseline"/>
    </w:pPr>
    <w:rPr>
      <w:rFonts w:cs="宋体"/>
      <w:szCs w:val="20"/>
    </w:rPr>
  </w:style>
  <w:style w:type="paragraph" w:customStyle="1" w:styleId="19">
    <w:name w:val="封面页眉"/>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ind w:firstLine="320"/>
      <w:jc w:val="left"/>
    </w:pPr>
    <w:rPr>
      <w:rFonts w:ascii="华文细黑" w:hAnsi="华文细黑" w:eastAsia="华文细黑"/>
      <w:b/>
      <w:color w:val="000000"/>
      <w:sz w:val="18"/>
      <w:szCs w:val="18"/>
    </w:rPr>
  </w:style>
  <w:style w:type="paragraph" w:customStyle="1" w:styleId="20">
    <w:name w:val="封面1"/>
    <w:basedOn w:val="1"/>
    <w:qFormat/>
    <w:uiPriority w:val="0"/>
    <w:pPr>
      <w:ind w:firstLine="582"/>
      <w:jc w:val="center"/>
    </w:pPr>
    <w:rPr>
      <w:rFonts w:ascii="黑体" w:hAnsi="黑体" w:eastAsia="黑体"/>
      <w:b/>
      <w:bCs/>
      <w:color w:val="000000"/>
      <w:sz w:val="29"/>
      <w:szCs w:val="29"/>
    </w:rPr>
  </w:style>
  <w:style w:type="paragraph" w:customStyle="1" w:styleId="21">
    <w:name w:val="封面2英文"/>
    <w:basedOn w:val="1"/>
    <w:qFormat/>
    <w:uiPriority w:val="0"/>
    <w:pPr>
      <w:spacing w:line="240" w:lineRule="auto"/>
      <w:ind w:firstLine="0" w:firstLineChars="0"/>
      <w:jc w:val="center"/>
    </w:pPr>
    <w:rPr>
      <w:rFonts w:ascii="Centaur" w:hAnsi="Centaur" w:eastAsia="黑体"/>
      <w:bCs/>
      <w:color w:val="000000"/>
      <w:sz w:val="25"/>
      <w:szCs w:val="25"/>
    </w:rPr>
  </w:style>
  <w:style w:type="paragraph" w:customStyle="1" w:styleId="22">
    <w:name w:val="封面3"/>
    <w:basedOn w:val="1"/>
    <w:qFormat/>
    <w:uiPriority w:val="0"/>
    <w:pPr>
      <w:ind w:firstLine="0" w:firstLineChars="0"/>
      <w:jc w:val="center"/>
    </w:pPr>
    <w:rPr>
      <w:rFonts w:ascii="华文中宋" w:hAnsi="华文中宋" w:eastAsia="华文中宋"/>
      <w:b/>
      <w:bCs/>
      <w:color w:val="000000"/>
      <w:sz w:val="46"/>
      <w:szCs w:val="46"/>
    </w:rPr>
  </w:style>
  <w:style w:type="paragraph" w:customStyle="1" w:styleId="23">
    <w:name w:val="封面4"/>
    <w:basedOn w:val="1"/>
    <w:qFormat/>
    <w:uiPriority w:val="0"/>
    <w:pPr>
      <w:ind w:firstLine="0" w:firstLineChars="0"/>
      <w:jc w:val="center"/>
    </w:pPr>
    <w:rPr>
      <w:rFonts w:ascii="黑体" w:hAnsi="黑体" w:eastAsia="黑体"/>
      <w:b/>
      <w:bCs/>
      <w:color w:val="000000"/>
      <w:sz w:val="25"/>
      <w:szCs w:val="25"/>
    </w:rPr>
  </w:style>
  <w:style w:type="paragraph" w:customStyle="1" w:styleId="24">
    <w:name w:val="封面5"/>
    <w:basedOn w:val="1"/>
    <w:qFormat/>
    <w:uiPriority w:val="0"/>
    <w:pPr>
      <w:jc w:val="center"/>
    </w:pPr>
    <w:rPr>
      <w:rFonts w:eastAsia="黑体" w:asciiTheme="minorHAnsi" w:hAnsiTheme="minorHAnsi"/>
      <w:b/>
      <w:sz w:val="33"/>
    </w:rPr>
  </w:style>
  <w:style w:type="paragraph" w:customStyle="1" w:styleId="25">
    <w:name w:val="封面 6"/>
    <w:basedOn w:val="1"/>
    <w:qFormat/>
    <w:uiPriority w:val="0"/>
    <w:pPr>
      <w:ind w:firstLine="0" w:firstLineChars="0"/>
      <w:jc w:val="center"/>
    </w:pPr>
    <w:rPr>
      <w:rFonts w:asciiTheme="minorHAnsi" w:hAnsiTheme="minorHAnsi"/>
      <w:b/>
      <w:bCs/>
      <w:color w:val="000000"/>
      <w:sz w:val="28"/>
      <w:szCs w:val="28"/>
    </w:rPr>
  </w:style>
  <w:style w:type="paragraph" w:customStyle="1" w:styleId="26">
    <w:name w:val="公告1"/>
    <w:basedOn w:val="1"/>
    <w:qFormat/>
    <w:uiPriority w:val="0"/>
    <w:pPr>
      <w:jc w:val="center"/>
    </w:pPr>
    <w:rPr>
      <w:rFonts w:eastAsia="楷体" w:asciiTheme="minorHAnsi" w:hAnsiTheme="minorHAnsi"/>
      <w:b/>
      <w:sz w:val="72"/>
    </w:rPr>
  </w:style>
  <w:style w:type="paragraph" w:customStyle="1" w:styleId="27">
    <w:name w:val="公告2"/>
    <w:basedOn w:val="1"/>
    <w:qFormat/>
    <w:uiPriority w:val="0"/>
    <w:pPr>
      <w:jc w:val="center"/>
    </w:pPr>
    <w:rPr>
      <w:rFonts w:eastAsia="楷体" w:asciiTheme="minorHAnsi" w:hAnsiTheme="minorHAnsi"/>
      <w:sz w:val="32"/>
    </w:rPr>
  </w:style>
  <w:style w:type="paragraph" w:customStyle="1" w:styleId="28">
    <w:name w:val="前言标题"/>
    <w:basedOn w:val="1"/>
    <w:link w:val="30"/>
    <w:qFormat/>
    <w:uiPriority w:val="0"/>
    <w:pPr>
      <w:ind w:firstLine="0" w:firstLineChars="0"/>
      <w:jc w:val="center"/>
    </w:pPr>
    <w:rPr>
      <w:rFonts w:eastAsia="黑体" w:asciiTheme="minorHAnsi" w:hAnsiTheme="minorHAnsi"/>
      <w:b/>
      <w:sz w:val="28"/>
    </w:rPr>
  </w:style>
  <w:style w:type="paragraph" w:customStyle="1" w:styleId="29">
    <w:name w:val="前言内容"/>
    <w:basedOn w:val="1"/>
    <w:link w:val="31"/>
    <w:qFormat/>
    <w:uiPriority w:val="0"/>
    <w:pPr>
      <w:spacing w:line="360" w:lineRule="auto"/>
      <w:ind w:firstLine="580"/>
      <w:jc w:val="left"/>
    </w:pPr>
    <w:rPr>
      <w:rFonts w:asciiTheme="minorHAnsi" w:hAnsiTheme="minorHAnsi"/>
      <w:sz w:val="21"/>
    </w:rPr>
  </w:style>
  <w:style w:type="character" w:customStyle="1" w:styleId="30">
    <w:name w:val="前言标题 Char"/>
    <w:link w:val="28"/>
    <w:qFormat/>
    <w:uiPriority w:val="0"/>
    <w:rPr>
      <w:rFonts w:eastAsia="黑体"/>
      <w:b/>
      <w:kern w:val="2"/>
      <w:sz w:val="28"/>
      <w:szCs w:val="24"/>
    </w:rPr>
  </w:style>
  <w:style w:type="character" w:customStyle="1" w:styleId="31">
    <w:name w:val="前言内容 Char"/>
    <w:link w:val="29"/>
    <w:qFormat/>
    <w:uiPriority w:val="0"/>
    <w:rPr>
      <w:rFonts w:eastAsia="宋体" w:asciiTheme="minorHAnsi" w:hAnsiTheme="minorHAnsi"/>
      <w:sz w:val="21"/>
    </w:rPr>
  </w:style>
  <w:style w:type="paragraph" w:customStyle="1" w:styleId="32">
    <w:name w:val="目次"/>
    <w:basedOn w:val="1"/>
    <w:qFormat/>
    <w:uiPriority w:val="0"/>
    <w:pPr>
      <w:spacing w:line="240" w:lineRule="auto"/>
      <w:ind w:firstLine="0" w:firstLineChars="0"/>
      <w:jc w:val="left"/>
    </w:pPr>
    <w:rPr>
      <w:rFonts w:ascii="黑体" w:hAnsi="黑体" w:cs="黑体"/>
    </w:rPr>
  </w:style>
  <w:style w:type="paragraph" w:customStyle="1" w:styleId="33">
    <w:name w:val="图名表名"/>
    <w:basedOn w:val="1"/>
    <w:qFormat/>
    <w:uiPriority w:val="0"/>
    <w:pPr>
      <w:jc w:val="center"/>
    </w:pPr>
    <w:rPr>
      <w:rFonts w:eastAsia="黑体"/>
    </w:rPr>
  </w:style>
  <w:style w:type="paragraph" w:customStyle="1" w:styleId="34">
    <w:name w:val="表格文字"/>
    <w:basedOn w:val="1"/>
    <w:qFormat/>
    <w:uiPriority w:val="0"/>
    <w:pPr>
      <w:ind w:firstLine="0" w:firstLineChars="0"/>
      <w:jc w:val="center"/>
    </w:pPr>
    <w:rPr>
      <w:rFonts w:hint="eastAsia" w:ascii="宋体" w:hAnsi="宋体"/>
      <w:sz w:val="18"/>
      <w:szCs w:val="18"/>
    </w:rPr>
  </w:style>
  <w:style w:type="paragraph" w:styleId="3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header" Target="header16.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1897</Words>
  <Characters>10819</Characters>
  <Lines>90</Lines>
  <Paragraphs>25</Paragraphs>
  <TotalTime>27</TotalTime>
  <ScaleCrop>false</ScaleCrop>
  <LinksUpToDate>false</LinksUpToDate>
  <CharactersWithSpaces>12691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2023-07-17T01:44:00Z</dcterms:created>
  <dc:creator>Administrator</dc:creator>
  <cp:lastModifiedBy>张志伟</cp:lastModifiedBy>
  <dcterms:modified xsi:type="dcterms:W3CDTF">2023-09-13T02:22:16Z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FAC048F2D3674085B4C341CFAB3FDDEC_13</vt:lpwstr>
  </property>
</Properties>
</file>